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KIÊN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2786</w:t>
            </w:r>
            <w:r>
              <w:t xml:space="preserve">/</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Kiên Giang, ngày 30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QUY HOẠCH GIAO THÔNG NÔNG THÔN HUYỆN GÒQUAO, TỈNH KIÊN GIANG GIAI ĐOẠN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LuậtGiao thông đường bộ ngày 13 tháng 11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LuậtGiao thông đường thủy nội địa ngày 15 tháng 6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LuậtXây dựng số </w:t>
      </w:r>
      <w:hyperlink r:id="rId3" w:history="1">
        <w:r>
          <w:rPr>
            <w:rStyle w:val="Hyperlink"/>
            <w:i/>
          </w:rPr>
          <w:t xml:space="preserve">16/2003/QH11 </w:t>
        </w:r>
      </w:hyperlink>
      <w:r>
        <w:rPr>
          <w:i/>
        </w:rPr>
        <w:t xml:space="preserve"> ngày 26 tháng 11 năm 2003; Luật số 38/2009/QH12 ngày19 tháng 6 năm 2009 về việc sửa đổi, bổ sung một số điều của các Luật liên quanđến đầu tư xây dựng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Nghịquyết số 13/2001/QH13 ngày 09 tháng 11 năm 2011 của Quốc hội về Chương trìnhmục tiêu quốc gia giai đoạn 2011-2015;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Nghịquyết Đại hội tỉnh Đảng bộ Kiên Giang lần thứ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1255/QĐ-TTg ngày 26 tháng 7 năm 2011 của Thủ tướng Chính phủ vềphê duyệt Quy hoạch tổng thể phát triển kinh tế - xã hội tỉnh Kiên Giang thờikỳ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4" w:history="1">
        <w:r>
          <w:rPr>
            <w:rStyle w:val="Hyperlink"/>
            <w:i/>
          </w:rPr>
          <w:t xml:space="preserve">92/2006/NĐ-CP </w:t>
        </w:r>
      </w:hyperlink>
      <w:r>
        <w:rPr>
          <w:i/>
        </w:rPr>
        <w:t xml:space="preserve"> ngày 07 tháng 9 năm 2006 của Chính phủ về lập, phê duyệtvà quản 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04/2008/NĐ-CP ngày 11 tháng 01 năm 2008 của Chính phủ về sửa đổi, bổsung một số điều của Nghị định số 92/2006/NĐ-CP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11/2012/QĐ-TTg ngày 10 tháng 02 năm 2012 của Thủ tướng Chính phủphê duyệt Quy hoạch phát triển giao thông vận tải vùng kinh tế trọng điểm vùngđồng bằng sông Cửu Long đến năm 2020 và định hướng đến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35/2009/QĐ-TTg ngày 03 tháng 3 năm 2009 của Thủ tướng Chính phủvề phê duyệt điều chỉnh Chiến lược phát triển giao thông vận tải đến năm 2020và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03/2012/QĐ-UBND ngày 20 tháng 02 năm 2012 của Ủy ban nhân dân tỉnhKiên Giang về việc công bố số hiệu đường tỉnh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cứQuyết định số 32/2012/QĐ-UBND ngày 29 tháng 10 năm 2012 của Ủy ban nhân dân tỉnhKiên Giang về việc công bố số hiệu đường huyện trên địa bàn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nghịcủa Giám đốc Sở Giao thông vận tải tại Tờ trình số 348/TTr-SGTVT ngày 08 tháng12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kèm theo Quyết định này là Quy hoạchgiao thông nông thôn huyện Gò Quao, tỉnh Kiên Giang, giai đoạn đến năm 2020 vàđịnh hướng đến năm 2030, 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Quan điểmphát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triểngiao thông nông thôn là phát triển kinh tế - xã hội vùng nông thôn, đáp ứng nhucầu đi lại của nhân dân, từng bước xóa đói nghèo, giảm sự chênh lệch kinh tếgiữa thành thị với nông thôn, gắn liền với việc củng cố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Nhanh chóngphát triển theo hướng bền vững hóa hệ thống giao thông nông thôn và phải dựatrên cơ sở quy hoạch, định hướng phát triển kinh tế - xã hội của tỉnh và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thốnggiao thông nông thôn phải đi trước một bước để tạo tiền đề, làm động lực chocác ngành kinh tế khác phát triển trong quá trình công nghiệp hóa - hiện đạihóa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xâydựng mạng lưới giao thông nông thôn gắn liền với phát triển nông thôn mới vàphải gắn với công tác quản lý bảo trì kết cấu hạ tầng giao thông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triểngiao thông nông thôn là sự nghiệp của toàn dân, quán triệt phương châm nhà nướcvà nhân dân cùng làm; phát huy nội lực và tranh thủ nguồn vốn từ trung ương,nguồn vốn nước ngoài, huy động mọi nguồn lực từ nhân dân, từ các thành phầnkinh tế và các nguồn vốn để xây dựng mới và cải tạo hệ thống giao thông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Mục tiêutổng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lậpquy hoạch phát triển mạng lưới giao thông đồng bộ và liên hoàn trong tương lai,đáp ứng nhu cầu phát triển kinh tế - xã hội, phục vụ an ninh quốc phòng. Gópphần xây dựng nền nông nghiệp phát triển toàn diện theo hướng hiện đại, bềnvững.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nối vớimạng lưới quốc lộ và đường tỉnh, nâng cao hiệu quả khai thác của hệ thống giaothông nông thôn. Bảo đảm thông suốt đến các xã và cơ bản có đường ô tô đếntrung tâm xã. Từng bước nâng cao chất lượng đường nông thôn; có cơ chế, chínhsách đảm bảo duy tu, bảo dưỡng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căn cứđể thực hiện các dự án đầu tư nâng cấp và phát triển các công trình giao thôngtrọng điểm trên địa bàn huyện, làm cơ sở trong công tác quản lý và lập kế hoạchđầu tư toàn bộ hoặc từng phần hệ thống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Mục tiêucụ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nângcấp, mở mới các tuyến đường huyện, đường xã đúng theo tiêu chuẩn kỹ thuật vàcắm lộ giới giữ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2015,phấn đấu đạt được tỷ lệ cứng hóa đường huyện là 100%; 100% xã có đường ô tô đếnđược trung tâm xã; đường trục xã, liên xã được láng nhựa hoặc bê tông hóa và cótrên 60% đường giao thông liên ấp được bê tông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2020,các tuyến đường liên ấp được đầu tư cứng hóa đạt tối thiểu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hệthống bến xe trung tâm huyện nhằm đảm bảo nhu cầu đi lại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đầutư nạo vét một số tuyến đường thủy nội địa quan trọng nhằm phục vụ nhu cầu vậntải.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hoạchphát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Hệthống đường tỉnh (ĐT),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tỉnh962 (Lộ Quẹo - Gò Quao - Vĩnh Tuy): Toàn tuyến dài 23km. Điểm đầu tại Quốc lộ61 (Km61+383), điểm cuối tại xã Vĩnh Tuy (giáp ranh tỉnh Bạc Liêu). Hiện trạngđường cấp VI địa hình đồng bằng, mặt đường rộng 3,5m, nền đường rộng 6,5m, kếtcấu mặt đường láng nhựa, cầu trên tuyến tải trọng H.8. Lộ giới toàn tuyến sẽđược cắm trước theo tiêu chuẩn cấp III là 45m. Định hướng sau 2020, nâng cấptoàn tuyến đạt tiêu chuẩn cấp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tỉnh963C (đoạn Định An - Vĩnh Phú - Vĩnh Thạnh): Toàn tuyến dài 15,5km (đoạn đi quahuyện Gò Quao dài 3,0km). Điểm đầu tại Quốc lộ 61 (Km64+377), điểm cuốiĐT.963B. Quy hoạch giai đoạn đến năm 2020 đạt tiêu chuẩn cấp IV địa hình đồngbằng, mặt đường rộng Bm=7m, nền đường rộng Bn=9m. Lộ giới toàn tuyến 32m.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cầuquy hoạch khác, gồm: Đối với những đoạn tuyến đi qua khu vực đô thị, sẽ đượcđầu tư theo quy hoạch xây dựng đô thị. Quy mô xây dựng cầu trên tuyến phải phùhợp với cấp quy hoạch, tải trọng từ 0.65HL93 - HL.93 tùy theo từng tuyến quyhoạch. Các yếu tố hình học trên tuyến (bán kính đường cong đứng, nằm, lồi, lõm,tầm nhìn, siêu cao….) phải phù hợp với cấp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Hệthống đường huyện (ĐH):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đườnghuyện bao gồm tất cả các tuyến đường trên địa bàn được công bố theo Quyết địnhsố 32/2012/QĐ-UBND ngày 29 tháng 10 năm 2012 của Ủy ban nhân dân tỉnh KiênGiang. Quy hoạch giai đoạn đến 2020 và định hướng đến năm 2030: Đối với cáctuyến đường hiện hữu và mở mới sẽ đạt tiêu chuẩn tối thiểu cấp VI, mặt đườngrộng Bm=3,5m, nền đường rộng Bn=6,5m và cấp V, mặt đường rộng Bm=5,5m, nềnđường rộng Bn=7,5m. Lộ giới tối thiểu 32m.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mặtđường và tải trọng cầu: Cán đá láng nhựa hoặc bê tông xi măng; cầu trên tuyếncó tải trọng từ 0,5HL93 - 0,65HL93 và bề rộng toàn cầu từ 4,5m đến 7,0m.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Hệthống đường xã (thôn, ấp): Các tuyến đường xã có chức năng kết nối các khu dâncư và vùng sản xuất nông nghiệp ra đường huyện. Các tuyến này phục vụ cho việcvận chuyển, đi lại và sinh hoạt hàng ngày của người dân tại các làng, xã, thônấp. Quy mô cấp đường quy hoạch căn cứ theo Quyết định số 1265/QĐ-UBND ngày 10tháng 6 năm 2011 của Chủ tịch Ủy ban nhân dân tỉnh về ban hành Quy định về quymô kỹ thuật đường giao thông nông thôn phục vụ Chương trình xây dựng nông thônmới giai đoạn 2010-2020 trên địa bàn tỉnh Kiên Giang. Tiêu chuẩn tối thiểu cầnđạt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cáctuyến trục chính và liên xã: Đề xuất quy hoạch đạt tối thiểu loại B theo cấpđường giao thông nông thôn, mặt rộng 2,5m, lề đường mỗi bên 1,25m, nền 5,0m,kết cấu mặt đường bê tông xi măng.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vớinhững tuyến trục ấp còn lại quy hoạch đạt loại B hoặc loại C (mặt rộng 2,0m,nền 3,0m, lề đường mỗi bên rộng 0,5m);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vớinhững xã có điều kiện thì ngành Giao thông vận tải nên khuyến khích xây dựngcác tuyến đường xã ở cấp cao hơn (A, AH hoặc cấp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 Hệthống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tínhtoán tối thiểu đạt 5 tấn (Quy trình thiết kế cầu cống theo trạng thái giới hạn22TCN 18-79). Áp dụng cho đường cấp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tải tínhtoán tối thiểu đạt 10 tấn (tương đương 0,5HL93 theo 22TCN272-05). Áp dụng chocác đường cấp AH và cấp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đườngcấp C: Tùy theo điều kiện của địa phương, nhưng phải đảm bảo đủ điều kiện antoàn cho phương tiện lưu thông qua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 Hệthống bến bãi: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xe: Hiện nay, bến xe kháchhuyện Gò Quao đã đầu tư xây dựng đảm bảo hoạt động khai thác vận tải đường bộcủa huyện. Đến năm 2020 nâng cấp bến xe khách theo quy hoạch xây dựng thị trấnGò Quao, vừa có chức năng bến xe khách vừa là bến xe hàng, xây dựng đạt tiêuchuẩn bến xe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thủy nộiđịa: Đến năm 2015, xem xét cấp phép hoạt động cho các bến hiện hữu đang hoạtđộng không phép (43 bến) trên cơ sở đáp ứng các tiêu chuẩn hoạt động bến thủynội địa, quy định hiện hành của Nhà nước. Đình chỉ chấm dứt ngay hoạt động củacác bến tự phát không giấy phép và có biện pháp xử lý nghiêm ngặt để tránh tìnhtrạng bến không phép tự do mở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kháchngang sông: Các bến khách ngang sông được quy hoạch phải đảm bảo các tiêu chítheo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Đườngthủy nội địa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Đối vớihệ thống đường thủy tỉnh quản lý: Các tuyến đường thủy, gồm: Kênh KH7, Kênh LộXe, Kênh Cái Tư, Kênh Thác Lác - Ô Môn, Kênh Cái Tư, Kênh KH5, Kênh KH6 quyhoạch đạt cấp V, rộng luồng 15m, sâu 2,2m.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Đối vớihệ thống kênh nội đồng, kênh thủy lợi: Trong giai đoạn từ nay đến 2020, tiếptục đầu tư nạo vét hệ thống kênh do huyện quản lý để phục vụ tưới tiêu, sảnxuất và đi lại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Tĩnhkhông và bề rộng thông thuyền: Các cầu được xây dựng mới bắc ngang các tuyếnsông kênh có vận tải thủy trên địa bàn huyện phải có tĩnh không và khẩu độ thựchiện theo Thông tư 36/2012/TT-BGTVT ngày 13 tháng 9 năm 2012 của Bộ Giao thôngvận tải. Đối với các tuyến kênh không có nhu cầu vận tải đường thủy căn cứQuyết định số 1265/QĐ-UBND ngày 10 tháng 6 năm 2011 của Chủ tịch Ủy ban nhândân tỉnh về ban hành Quy định về quy mô kỹ thuật đường giao thông nông thônphục vụ Chương trình xây dựng nông thôn mới giai đoạn 2010-2020 trên địa bàntỉnh Kiên Giang. Bề rộng thông thuyền tối thiểu không nhỏ hơn 6,0m; chiều caothông thuyền tối thiểu không nhỏ hơn 1,5m. Mực nước thông thuyền căn cứ vào mứcnước sử dụng thường xuyên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Dự kiếnquỹ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quỹđất dành cho hệ thống kết cấu hạ tầng giao thông huyện Gò Quao bao gồm: Đườngbộ, bến bãi (không tính giao thông đô thị) đến năm 2020 khoảng 1.410,73ha,chiếm 3,21% diện tích tự nhiên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giảipháp, chính sách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giảipháp, chính sách về nguồn vốn đầu tư phát triển kết cấu hạ tầng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tậptrung huy động tối đa từ nguồn vốn ngân sách huyện, tỉnh để phát triển hệ thốngđường nông thôn trên địa bàn huyện, các nguồn vốn có thể huy động được cho pháttriển giao thông nông thôn của huyện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đầu tưtừ các dự án phát triển giao thông vận tải của Bộ Giao thông vận tải và vốn tàitrợ của Ngân hàng Thế giới (WB). Vốn tài trợ từ các tổ chức nhân đạo, từ thiện,phi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từ cácchương trình, dự án phát triển kinh tế - xã hội trên địa bàn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đóng góptừ các đơn vị kinh tế trên địa bàn huyện, bao gồm các tổ chức, cá nhân có đăngký kinh doanh (kể cả các doanh nghiệp nhà nước và tư nhân) và đóng góp của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Tổ chứcvà quản lý trong đầu tư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Xâydựng kế hoạch: Căn cứ vào quy hoạch, xét mức độ cần thiết và khả năng nguồnvốn, địa phương sẽ xây dựng kế hoạch phát triển giao thông của huyện theo từngnăm theo các 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trungđầu tư dứt điểm, không dàn trải.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 đến sựliên hoàn, không để chia cắt.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trụcđường chính có ý nghĩa quan trọng trong phát triển kinh tế - xã hội, đảm bảo anninh quốc phòng được ưu tiên làm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Quản lýnguồn vốn: Công trình đầu tư bằng nguồn vốn nào là chính thì quản lý đầu tư xâydựng theo các quy định phù hợp với nguồn vốn đó. Công trình đầu tư bằng nguồnvốn nhà nước là chính thì quản lý theo điều lệ xây dựng cơ bản hiện hành, côngtrình đầu tư bằng nguồn vốn do nhân dân đóng góp thì vận dụng các quy định quảnlý hiện hành để thực hiện cho phù hợp với từng nơi và từng công trình, đảm bảonguyên tắc công khai dân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 Tổ chứcquản lý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cácđường do huyện làm chủ đầu tư, căn cứ vào quy mô công trình việc đấu thầu, chọnthầu, chỉ định thầu, quản lý giám sát chất lượng, nghiệm thu, thanh toán, quyếttoán, bảo hành được thực hiện theo quy định của điều lệ xây dựng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bảotrì và sửa chữa đường bộ: Sau khi xây dựng xong phải bảo trì, đường đi qua xãnào thì xã đó quản lý, vốn bảo trì và sửa chữa nhỏ do nhân dân tự nguyện làm vàtự quản lý chi phí, ngân sách huyện hỗ trợ từ sửa chữa lớn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lựclượng công ích hàng năm để tiến hành công tác bảo trì theo hướng dẫn của BộGiao thông vận tải về tổ chức và quy trình. Lực lượng công ích có thể đưa từhuyện này sang huyện khác, xã này sang xã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khaihóa các nguồn thu, chi trong xây dựng giao thông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cácđường do xã là chủ đầu tư, các xã tổ chức thi công trên cơ sở ưu tiên vận độnglao động tại chỗ. Tăng cường công tác giám sát cộng đồng do xã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Tổchức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SởGiao thông vận tải chủ trì, phối hợp với các sở, ngành có liên quan và Ủy bannhân dân huyện Gò Quao, căn cứ vào chức năng, nhiệm vụ của mình có trách nhiệmtổ chức, hướng dẫn việc triển khai thực hiện quy hoạch theo những nội dung đượcphê duyệt tại Quyết định này. Trong quá trình thực hiện, tiến hành xem xét,đánh giá để điều chỉnh, bổ sung kịp thời và đáp ứng yêu cầu thực tế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Chủtịch Ủy ban nhân dân huyện Gò Quao phối hợp với các sở, ngành có liên quan tiếnhành rà soát, điều chỉnh các quy hoạch phù hợp với quy hoạch phát triển kết cấuhạ tầng giao thông trên địa bàn huyện, đảm bảo quy hoạch triển khai đồng bộ,tạo được hệ thống giao thông vận tải kết nối liên hoàn, nhằm nâng cao năng lựctoàn mạng lưới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đốc(Thủ trưởng) các sở, ban, ngành cấp tỉnh; Chủ tịch Ủy ban nhân dân huyện GòQuao; Giám đốc (Thủ trưởng) các cơ quan, đơn vị có liên quan chịu trách nhiệmthi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Mai Văn Huỳnh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QUY HOẠCH, QUỸ ĐẤT CHO GIAO THÔNG VÀ DANH MỤC CÁCDỰ ÁN ƯU TIÊN ĐẦU TƯ</w:t>
      </w:r>
      <w:r>
        <w:rPr/>
        <w:br/>
      </w:r>
      <w:r>
        <w:rPr>
          <w:i/>
        </w:rPr>
        <w:t xml:space="preserve">(Ban hành kèm theo Quyết định số 2786/QĐ-UBND ngày 30 tháng 12 năm 2014 của Chủtịch Ủy ban nhân dân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Tổng hợpquy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giaothông nông thôn huyện Gò Quao, tỉnh Kiên Giang đến năm 2020 và định hướng đếnnăm 2030 chủ yếu tập trung phát triển mạng lưới đường bộ. Kết quả quy hoạchmạng lưới đường bộ được thể hiện theo một số chỉ tiêu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chiều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cao tốc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Mật độ theo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Mật độ theo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km/1.000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4.Tỷ lệ nhựa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Quỹ đất pháttriển mạng lưới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về quảnlý và bảo vệ kết cấu hạ tầng giao thông đường bộ, phạm vi đất dành cho đường bộgồm đất của đường bộ và đất hành lang an toàn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đất của đườngbộ,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đất trên đócông trình đường bộ được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đất bảo vệ, bảotrì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hành lang antoàn đường bộ: Là phần đất dọc hai bên đất của đường bộ nhằm đảm bảo an toàngiao thông và bảo vệ công trình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đất phát triểngiao thông trên địa bàn huyện Gò Quao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Quỹ đất chiếm dụng (ha)</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xây dựng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bảo vệ bảo trì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hành lang an toàn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thủy nội địa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604,56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249,17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395,99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1.410,73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Danh mục dự ánưu tiên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Quốc lộ 61 (baogồm cả đoạn tuyến trùng với đường Hồ Chí Minh): là tuyến đường giao thông huyếtmạch nối liền 02 tỉnh Kiên Giang và Hậu Giang, hiện tại mặt đường cấp VI khai thácnhiều năm đã xuống cấp nặng và là tuyến đường giao thông trọng yếu, gần nhấtnối các địa giới hành chính trên địa bàn tỉnh Kiên Giang với Quốc lộ 1A và hệthống cảng đồng bằng sông Cửu Long, góp phần quan trọng thúc đẩy phát triển kinhtế - xã hội, quốc phòng an ninh khu vực biên giới Tây Nam; là công trình dự ánchuyển tiếp, cần thiết phải đầu tư trong giai đoạn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Đường tỉnh: Hoàn thànhthông tuyến ĐT.963C (Định An - Vĩnh Phú - Vĩnh Thạnh).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Đườngxã: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Dài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Gò Quao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Định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VI,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Định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Thới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Thủy Liễu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Hòa Hưng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Hòa Hưng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Phước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Phước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loại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16-2003-qh11-cua-quoc-hoi---luat-xay-dung.aspx" TargetMode="External" /><Relationship Id="rId4" Type="http://schemas.openxmlformats.org/officeDocument/2006/relationships/hyperlink" Target="/nghi-dinh-so-92-2006-nd-cp-cua-chinh-phu---ve-lap--phe-duyet-va-quan-ly-quy-hoach-tong-the-phat-trien-kinh-te---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2022-06-21T15:20:40Z</dcterms:created>
  <dcterms:modified xsi:type="dcterms:W3CDTF">2022-06-21T15:20:40Z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2022-06-21T15:20:40Z</dcterms:created>
  <dcterms:modified xsi:type="dcterms:W3CDTF">2022-06-21T15:20:40Z</dcterms:modified>
</cp:coreProperties>
</file>