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pPr>
      <w:r>
        <w:t xml:space="preserve"> </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GIÁO DỤC VÀ ĐÀO TẠO</w:t>
            </w:r>
          </w:p>
          <w:p>
            <w:pPr>
              <w:pStyle w:val="Normal(Web)"/>
              <w:divId w:val="2"/>
              <w:jc w:val="center"/>
              <w:rPr>
                <w:vanish w:val="0"/>
              </w:rPr>
            </w:pPr>
            <w:r>
              <w:rPr>
                <w:b/>
              </w:rPr>
              <w:t xml:space="preserve">----------------------</w:t>
            </w:r>
          </w:p>
          <w:p>
            <w:pPr>
              <w:pStyle w:val="Normal(Web)"/>
              <w:divId w:val="3"/>
              <w:jc w:val="center"/>
              <w:rPr>
                <w:vanish w:val="0"/>
              </w:rPr>
            </w:pPr>
            <w:r>
              <w:rPr>
                <w:b/>
              </w:rPr>
              <w:t xml:space="preserve">Số: 729/QĐ-BGDĐT </w:t>
            </w:r>
          </w:p>
        </w:tc>
        <w:tc>
          <w:tcPr>
            <w:tcW w:w="0" w:type="auto"/>
            <w:shd w:val="clear" w:color="auto" w:fill="auto"/>
            <w:vAlign w:val="center"/>
          </w:tcPr>
          <w:p>
            <w:pPr>
              <w:pStyle w:val="Normal(Web)"/>
              <w:divId w:val="4"/>
              <w:jc w:val="center"/>
              <w:rPr>
                <w:vanish w:val="0"/>
              </w:rPr>
            </w:pPr>
            <w:r>
              <w:rPr>
                <w:b/>
              </w:rPr>
              <w:t xml:space="preserve">CỘNG HOÀ XÃ HỘI CHỦ NGHĨA VIỆT NAM</w:t>
            </w:r>
          </w:p>
          <w:p>
            <w:pPr>
              <w:pStyle w:val="Normal(Web)"/>
              <w:divId w:val="5"/>
              <w:jc w:val="center"/>
              <w:rPr>
                <w:vanish w:val="0"/>
              </w:rPr>
            </w:pPr>
            <w:r>
              <w:rPr>
                <w:b/>
              </w:rPr>
              <w:t xml:space="preserve">Độc lập - Tự do - Hạnh phúc</w:t>
            </w:r>
          </w:p>
          <w:p>
            <w:pPr>
              <w:pStyle w:val="Normal(Web)"/>
              <w:divId w:val="6"/>
              <w:jc w:val="center"/>
              <w:rPr>
                <w:vanish w:val="0"/>
              </w:rPr>
            </w:pPr>
            <w:r>
              <w:rPr>
                <w:i/>
              </w:rPr>
              <w:t xml:space="preserve">-------------------------------</w:t>
            </w:r>
          </w:p>
          <w:p>
            <w:pPr>
              <w:pStyle w:val="Normal(Web)"/>
              <w:divId w:val="7"/>
              <w:jc w:val="right"/>
              <w:rPr>
                <w:vanish w:val="0"/>
              </w:rPr>
            </w:pPr>
            <w:r>
              <w:rPr>
                <w:i/>
              </w:rPr>
              <w:t xml:space="preserve">Hà Nội, ngày 11 tháng</w:t>
            </w:r>
            <w:r>
              <w:rPr>
                <w:i/>
              </w:rPr>
              <w:t xml:space="preserve"> 03</w:t>
            </w:r>
            <w:r>
              <w:rPr>
                <w:i/>
              </w:rPr>
              <w:t xml:space="preserve"> năm 201</w:t>
            </w:r>
            <w:r>
              <w:rPr>
                <w:i/>
              </w:rPr>
              <w:t xml:space="preserve">5</w:t>
            </w:r>
          </w:p>
        </w:tc>
      </w:tr>
    </w:tbl>
    <w:p>
      <w:pPr>
        <w:pStyle w:val="Normal(Web)"/>
        <w:divId w:val="8"/>
        <w:rPr>
          <w:vanish w:val="0"/>
        </w:rPr>
      </w:pPr>
      <w:r>
        <w:rPr>
          <w:b/>
        </w:rPr>
        <w:t xml:space="preserve">QUYẾT ĐỊNH</w:t>
      </w:r>
    </w:p>
    <w:p>
      <w:pPr>
        <w:pStyle w:val="Normal(Web)"/>
        <w:divId w:val="9"/>
        <w:jc w:val="center"/>
        <w:rPr>
          <w:vanish w:val="0"/>
        </w:rPr>
      </w:pPr>
      <w:r>
        <w:rPr>
          <w:b/>
        </w:rPr>
        <w:t xml:space="preserve">Ban hành </w:t>
      </w:r>
      <w:r>
        <w:rPr>
          <w:b/>
        </w:rPr>
        <w:t xml:space="preserve">Định dạng đề thi đánh giá năng lực sử dụng tiếng Anh từ bậc 3 đến bậc 5</w:t>
      </w:r>
      <w:r>
        <w:rPr>
          <w:b/>
        </w:rPr>
        <w:t xml:space="preserve"> theo Khung năng lực ngoại ngữ 6 bậc dùng cho Việt Nam</w:t>
      </w:r>
    </w:p>
    <w:p>
      <w:pPr>
        <w:pStyle w:val="Normal(Web)"/>
        <w:divId w:val="10"/>
        <w:jc w:val="center"/>
        <w:rPr>
          <w:vanish w:val="0"/>
        </w:rPr>
      </w:pPr>
      <w:r>
        <w:rPr>
          <w:b/>
        </w:rPr>
        <w:t xml:space="preserve">------------------------------------------</w:t>
      </w:r>
    </w:p>
    <w:p>
      <w:pPr>
        <w:pStyle w:val="Normal(Web)"/>
        <w:divId w:val="11"/>
        <w:jc w:val="center"/>
        <w:rPr>
          <w:vanish w:val="0"/>
        </w:rPr>
      </w:pPr>
      <w:r>
        <w:rPr>
          <w:b/>
        </w:rPr>
        <w:t xml:space="preserve">BỘ TRƯỞNG BỘ GIÁO DỤC VÀ ĐÀO TẠO</w:t>
      </w:r>
    </w:p>
    <w:p>
      <w:pPr>
        <w:pStyle w:val="Normal(Web)"/>
        <w:divId w:val="12"/>
        <w:rPr>
          <w:vanish w:val="0"/>
        </w:rPr>
      </w:pPr>
      <w:r>
        <w:rPr>
          <w:i/>
        </w:rPr>
        <w:t xml:space="preserve">Căn cứ Nghị định số </w:t>
      </w:r>
      <w:hyperlink r:id="rId3" w:history="1">
        <w:r>
          <w:rPr>
            <w:rStyle w:val="Hyperlink"/>
            <w:i/>
          </w:rPr>
          <w:t xml:space="preserve">36/2012/NĐ-CP </w:t>
        </w:r>
      </w:hyperlink>
      <w:r>
        <w:rPr>
          <w:i/>
        </w:rPr>
        <w:t xml:space="preserve"> ngày 18 tháng 4 năm 2012 của Chính phủ quy định chức năng, nhiệm vụ, quyền hạn và cơ cấu tổ chức của Bộ, cơ quan ngang Bộ;</w:t>
      </w:r>
    </w:p>
    <w:p>
      <w:pPr>
        <w:pStyle w:val="Normal(Web)"/>
        <w:divId w:val="13"/>
        <w:rPr>
          <w:vanish w:val="0"/>
        </w:rPr>
      </w:pPr>
      <w:r>
        <w:rPr>
          <w:i/>
        </w:rPr>
        <w:t xml:space="preserve">Căn cứ Nghị định số </w:t>
      </w:r>
      <w:hyperlink r:id="rId4" w:history="1">
        <w:r>
          <w:rPr>
            <w:rStyle w:val="Hyperlink"/>
            <w:i/>
          </w:rPr>
          <w:t xml:space="preserve">32/2008/NĐ-CP </w:t>
        </w:r>
      </w:hyperlink>
      <w:r>
        <w:rPr>
          <w:i/>
        </w:rPr>
        <w:t xml:space="preserve"> ngày 19 tháng 3 năm 2008 của Chính phủ</w:t>
      </w:r>
      <w:r>
        <w:rPr>
          <w:i/>
        </w:rPr>
        <w:t xml:space="preserve">quy định chức năng, nhiệm vụ, quyền hạn và cơ cấu tổ chức của Bộ Giáo dục và Đào tạo;</w:t>
      </w:r>
    </w:p>
    <w:p>
      <w:pPr>
        <w:pStyle w:val="Normal(Web)"/>
        <w:divId w:val="14"/>
        <w:rPr>
          <w:vanish w:val="0"/>
        </w:rPr>
      </w:pPr>
      <w:r>
        <w:rPr>
          <w:i/>
        </w:rPr>
        <w:t xml:space="preserve">Căn cứ Quyết định số 1400/QĐ-TTg ngày 30 tháng 9 năm 2008 của Thủ tướng Chính phủ về việc phê duyệt Đề án "Dạy và học ngoại ngữ trong hệ thống giáo dục quốc dân giai đoạn 2008 - 2020";</w:t>
      </w:r>
    </w:p>
    <w:p>
      <w:pPr>
        <w:pStyle w:val="Normal(Web)"/>
        <w:divId w:val="15"/>
        <w:rPr>
          <w:vanish w:val="0"/>
        </w:rPr>
      </w:pPr>
      <w:r>
        <w:rPr>
          <w:i/>
        </w:rPr>
        <w:t xml:space="preserve">Căn cứ Thông tư </w:t>
      </w:r>
      <w:r>
        <w:rPr>
          <w:i/>
        </w:rPr>
        <w:t xml:space="preserve"> </w:t>
      </w:r>
      <w:hyperlink r:id="rId5" w:history="1">
        <w:r>
          <w:rPr>
            <w:rStyle w:val="Hyperlink"/>
            <w:i/>
          </w:rPr>
          <w:t xml:space="preserve">01/2014/TT-BGDĐT </w:t>
        </w:r>
      </w:hyperlink>
      <w:r>
        <w:rPr>
          <w:i/>
        </w:rPr>
        <w:t xml:space="preserve"> </w:t>
      </w:r>
      <w:r>
        <w:rPr>
          <w:i/>
        </w:rPr>
        <w:t xml:space="preserve"> ngày 24 tháng 01 năm 2014 của Bộ trưởng Bộ Giáo dục và Đào tạo ban hành Khung năng lực ngoại ngữ 6 bậc dùng cho Việt Nam;</w:t>
      </w:r>
    </w:p>
    <w:p>
      <w:pPr>
        <w:pStyle w:val="Normal(Web)"/>
        <w:divId w:val="16"/>
        <w:rPr>
          <w:vanish w:val="0"/>
        </w:rPr>
      </w:pPr>
      <w:r>
        <w:rPr>
          <w:i/>
        </w:rPr>
        <w:t xml:space="preserve">Xét Biên bản thẩm định Định dạng đề thi đánh giá năng lực sử dụng tiếng Anh từ bậc 3 đến bậc 5 của Hội đồng nghiệm thu (được thành lập theo Quyết định số 5696/QĐ-BGDĐT ngày 02/12/2014 của Bộ trưởng Bộ Giáo dục và Đào tạo);</w:t>
      </w:r>
    </w:p>
    <w:p>
      <w:pPr>
        <w:pStyle w:val="Normal(Web)"/>
        <w:divId w:val="17"/>
        <w:rPr>
          <w:vanish w:val="0"/>
        </w:rPr>
      </w:pPr>
      <w:r>
        <w:rPr>
          <w:i/>
        </w:rPr>
        <w:t xml:space="preserve">Xét đề nghị của Cục trưởng Cục Khảo thí và Kiểm định chất lượng giáo dục,</w:t>
      </w:r>
    </w:p>
    <w:p>
      <w:pPr>
        <w:pStyle w:val="Normal(Web)"/>
        <w:divId w:val="18"/>
        <w:jc w:val="center"/>
        <w:rPr>
          <w:vanish w:val="0"/>
        </w:rPr>
      </w:pPr>
      <w:r>
        <w:rPr>
          <w:b/>
        </w:rPr>
        <w:t xml:space="preserve">QUYẾT ĐỊNH:</w:t>
      </w:r>
    </w:p>
    <w:p>
      <w:pPr>
        <w:pStyle w:val="Normal(Web)"/>
        <w:divId w:val="19"/>
        <w:rPr>
          <w:vanish w:val="0"/>
        </w:rPr>
      </w:pPr>
      <w:r>
        <w:t xml:space="preserve">Điều 1.</w:t>
      </w:r>
      <w:r>
        <w:t xml:space="preserve">Ban hành kèm theo Quyết định </w:t>
      </w:r>
      <w:r>
        <w:t xml:space="preserve">này </w:t>
      </w:r>
      <w:r>
        <w:t xml:space="preserve">Định dạng đề thi đánh giá năng lực sử dụng tiếng Anh từ bậc 3 đến bậc 5</w:t>
      </w:r>
      <w:r>
        <w:t xml:space="preserve"> theo Khung năng lực ngoại ngữ 6 bậc dùng cho Việt Nam, gồm: cấu trúc đề thi và quy định về quy đổi điểm thi sang các bậc năng lực dành cho người Việt Nam học và sử dụng tiếng Anh.</w:t>
      </w:r>
    </w:p>
    <w:p>
      <w:pPr>
        <w:pStyle w:val="Normal(Web)"/>
        <w:divId w:val="20"/>
        <w:rPr>
          <w:vanish w:val="0"/>
        </w:rPr>
      </w:pPr>
      <w:r>
        <w:rPr>
          <w:b/>
        </w:rPr>
        <w:t xml:space="preserve">Điều 2.</w:t>
      </w:r>
      <w:r>
        <w:rPr>
          <w:b/>
        </w:rPr>
        <w:t xml:space="preserve">Quyết định</w:t>
      </w:r>
      <w:r>
        <w:rPr>
          <w:b/>
        </w:rPr>
        <w:t xml:space="preserve"> này có hiệu lực thi hành kể từ ngày ký. </w:t>
      </w:r>
    </w:p>
    <w:p>
      <w:pPr>
        <w:pStyle w:val="Normal(Web)"/>
        <w:divId w:val="21"/>
        <w:rPr>
          <w:vanish w:val="0"/>
        </w:rPr>
      </w:pPr>
      <w:r>
        <w:rPr>
          <w:b/>
        </w:rPr>
        <w:t xml:space="preserve">Điều 3.</w:t>
      </w:r>
      <w:r>
        <w:t xml:space="preserve"> Chánh Văn phòng, Cục trưởng Cục Khảo thí và Kiểm định chất lượng giáo dục, Thủ trưởng các đơn vị có liên quan thuộc Bộ Giáo dục và Đào tạo; Giám đốc các sở giáo dục và đào tạo; Giám đốc các đại học Quốc gia, đại học vùng; Giám đốc các học viện; Hiệu trưởng các trường đại học, cao đẳng và trung cấp chuyên nghiệp; Thủ trưởng các cơ sở đào tạo ngoại ngữ thuộc hệ thống giáo dục quốc dân; Thủ trưởng các cơ sở đánh giá năng lực ngoại ngữ chịu trách nhiệm thi hành </w:t>
      </w:r>
      <w:r>
        <w:t xml:space="preserve">Quyết định</w:t>
      </w:r>
      <w:r>
        <w:t xml:space="preserve"> này./.</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22"/>
              <w:rPr>
                <w:vanish w:val="0"/>
              </w:rPr>
            </w:pPr>
            <w:r>
              <w:rPr>
                <w:b/>
                <w:i/>
              </w:rPr>
              <w:t xml:space="preserve">Nơi nhận: </w:t>
            </w:r>
          </w:p>
          <w:p>
            <w:pPr>
              <w:pStyle w:val="Normal(Web)"/>
              <w:divId w:val="23"/>
              <w:rPr>
                <w:vanish w:val="0"/>
              </w:rPr>
            </w:pPr>
            <w:r>
              <w:t xml:space="preserve">- Bộ trưởng (để b/c); </w:t>
            </w:r>
          </w:p>
          <w:p>
            <w:pPr>
              <w:pStyle w:val="Normal(Web)"/>
              <w:divId w:val="24"/>
              <w:rPr>
                <w:vanish w:val="0"/>
              </w:rPr>
            </w:pPr>
            <w:r>
              <w:t xml:space="preserve">- Như Điều 3; </w:t>
            </w:r>
          </w:p>
          <w:p>
            <w:pPr>
              <w:pStyle w:val="Normal(Web)"/>
              <w:divId w:val="25"/>
              <w:rPr>
                <w:vanish w:val="0"/>
              </w:rPr>
            </w:pPr>
            <w:r>
              <w:t xml:space="preserve">- Website Bộ GDĐT; </w:t>
            </w:r>
          </w:p>
          <w:p>
            <w:pPr>
              <w:pStyle w:val="Normal(Web)"/>
              <w:divId w:val="26"/>
              <w:rPr>
                <w:vanish w:val="0"/>
              </w:rPr>
            </w:pPr>
            <w:r>
              <w:t xml:space="preserve">- Lưu: VT, Cục KTKĐCLGD. </w:t>
            </w:r>
          </w:p>
        </w:tc>
        <w:tc>
          <w:tcPr>
            <w:tcW w:w="0" w:type="auto"/>
            <w:shd w:val="clear" w:color="auto" w:fill="auto"/>
            <w:vAlign w:val="center"/>
          </w:tcPr>
          <w:p>
            <w:pPr>
              <w:pStyle w:val="Normal(Web)"/>
              <w:divId w:val="27"/>
              <w:jc w:val="center"/>
              <w:rPr>
                <w:vanish w:val="0"/>
              </w:rPr>
            </w:pPr>
            <w:r>
              <w:rPr>
                <w:b/>
              </w:rPr>
              <w:t xml:space="preserve">KT. BỘ TRƯỞNG</w:t>
            </w:r>
          </w:p>
          <w:p>
            <w:pPr>
              <w:pStyle w:val="Normal(Web)"/>
              <w:divId w:val="28"/>
              <w:jc w:val="center"/>
              <w:rPr>
                <w:vanish w:val="0"/>
              </w:rPr>
            </w:pPr>
            <w:r>
              <w:rPr>
                <w:b/>
              </w:rPr>
              <w:t xml:space="preserve">THỨ TRƯỞNG</w:t>
            </w:r>
          </w:p>
          <w:p>
            <w:pPr>
              <w:pStyle w:val="Normal(Web)"/>
              <w:divId w:val="29"/>
              <w:jc w:val="center"/>
              <w:rPr>
                <w:vanish w:val="0"/>
              </w:rPr>
            </w:pPr>
            <w:r>
              <w:rPr>
                <w:i/>
              </w:rPr>
              <w:t xml:space="preserve">Đã kí </w:t>
            </w:r>
          </w:p>
          <w:p>
            <w:pPr>
              <w:pStyle w:val="Normal(Web)"/>
              <w:divId w:val="30"/>
              <w:jc w:val="center"/>
              <w:rPr>
                <w:vanish w:val="0"/>
              </w:rPr>
            </w:pPr>
            <w:r>
              <w:rPr>
                <w:b/>
              </w:rPr>
              <w:t xml:space="preserve">Nguyễn Vinh Hiển</w:t>
            </w:r>
          </w:p>
        </w:tc>
      </w:tr>
    </w:tbl>
    <w:p>
      <w:pPr>
        <w:rPr>
          <w:vanish/>
        </w:rPr>
      </w:pPr>
    </w:p>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center"/>
        </w:trPr>
        <w:tc>
          <w:tcPr>
            <w:tcW w:w="0" w:type="auto"/>
            <w:shd w:val="clear" w:color="auto" w:fill="auto"/>
            <w:vAlign w:val="center"/>
          </w:tcPr>
          <w:p>
            <w:pPr>
              <w:pStyle w:val="Normal(Web)"/>
              <w:divId w:val="32"/>
              <w:jc w:val="center"/>
              <w:rPr>
                <w:vanish w:val="0"/>
              </w:rPr>
            </w:pPr>
            <w:r>
              <w:rPr>
                <w:b/>
              </w:rPr>
              <w:t xml:space="preserve">BỘ GIÁO DỤC VÀ ĐÀO TẠO</w:t>
            </w:r>
          </w:p>
          <w:p>
            <w:pPr>
              <w:pStyle w:val="Normal(Web)"/>
              <w:divId w:val="33"/>
              <w:jc w:val="center"/>
              <w:rPr>
                <w:vanish w:val="0"/>
              </w:rPr>
            </w:pPr>
            <w:r>
              <w:rPr>
                <w:b/>
              </w:rPr>
              <w:t xml:space="preserve">-------------------------</w:t>
            </w:r>
          </w:p>
        </w:tc>
        <w:tc>
          <w:tcPr>
            <w:tcW w:w="0" w:type="auto"/>
            <w:shd w:val="clear" w:color="auto" w:fill="auto"/>
            <w:vAlign w:val="center"/>
          </w:tcPr>
          <w:p>
            <w:pPr>
              <w:pStyle w:val="Normal(Web)"/>
              <w:divId w:val="34"/>
              <w:jc w:val="center"/>
              <w:rPr>
                <w:vanish w:val="0"/>
              </w:rPr>
            </w:pPr>
            <w:r>
              <w:rPr>
                <w:b/>
              </w:rPr>
              <w:t xml:space="preserve">CỘNG HOÀ XÃ HỘI CHỦ NGHĨA VIỆT NAM</w:t>
            </w:r>
          </w:p>
          <w:p>
            <w:pPr>
              <w:pStyle w:val="Normal(Web)"/>
              <w:divId w:val="35"/>
              <w:jc w:val="center"/>
              <w:rPr>
                <w:vanish w:val="0"/>
              </w:rPr>
            </w:pPr>
            <w:r>
              <w:rPr>
                <w:b/>
              </w:rPr>
              <w:t xml:space="preserve">Độc lập - Tự do - Hạnh phúc</w:t>
            </w:r>
          </w:p>
          <w:p>
            <w:pPr>
              <w:pStyle w:val="Normal(Web)"/>
              <w:divId w:val="36"/>
              <w:jc w:val="center"/>
              <w:rPr>
                <w:vanish w:val="0"/>
              </w:rPr>
            </w:pPr>
            <w:r>
              <w:rPr>
                <w:i/>
              </w:rPr>
              <w:t xml:space="preserve">-------------------------------------------</w:t>
            </w:r>
          </w:p>
        </w:tc>
      </w:tr>
    </w:tbl>
    <w:p>
      <w:pPr>
        <w:pStyle w:val="Normal(Web)"/>
        <w:divId w:val="37"/>
        <w:jc w:val="center"/>
        <w:rPr>
          <w:vanish w:val="0"/>
        </w:rPr>
      </w:pPr>
      <w:r>
        <w:rPr>
          <w:b/>
        </w:rPr>
        <w:t xml:space="preserve">ĐỊNH DẠNG ĐỀ THI ĐÁNH GIÁ NĂNG LỰC SỬ DỤNG TIẾNG ANH </w:t>
      </w:r>
    </w:p>
    <w:p>
      <w:pPr>
        <w:pStyle w:val="Normal(Web)"/>
        <w:divId w:val="38"/>
        <w:jc w:val="center"/>
        <w:rPr>
          <w:vanish w:val="0"/>
        </w:rPr>
      </w:pPr>
      <w:r>
        <w:rPr>
          <w:b/>
        </w:rPr>
        <w:t xml:space="preserve">từ bậc 3 đến bậc 5</w:t>
      </w:r>
      <w:r>
        <w:rPr>
          <w:b/>
        </w:rPr>
        <w:t xml:space="preserve"> theo Khung năng lực ngoại ngữ 6 bậc dùng cho Việt Nam</w:t>
      </w:r>
    </w:p>
    <w:p>
      <w:pPr>
        <w:pStyle w:val="Normal(Web)"/>
        <w:divId w:val="39"/>
        <w:jc w:val="center"/>
        <w:rPr>
          <w:vanish w:val="0"/>
        </w:rPr>
      </w:pPr>
      <w:r>
        <w:rPr>
          <w:i/>
        </w:rPr>
        <w:t xml:space="preserve">(Ban hành kèm theo </w:t>
      </w:r>
      <w:r>
        <w:rPr>
          <w:i/>
        </w:rPr>
        <w:t xml:space="preserve">Quyết định </w:t>
      </w:r>
      <w:r>
        <w:rPr>
          <w:i/>
        </w:rPr>
        <w:t xml:space="preserve">số: </w:t>
      </w:r>
      <w:r>
        <w:rPr>
          <w:i/>
        </w:rPr>
        <w:t xml:space="preserve"> 729/QĐ </w:t>
      </w:r>
      <w:r>
        <w:rPr>
          <w:i/>
        </w:rPr>
        <w:t xml:space="preserve">-BGDĐT</w:t>
      </w:r>
    </w:p>
    <w:p>
      <w:pPr>
        <w:pStyle w:val="Normal(Web)"/>
        <w:divId w:val="40"/>
        <w:jc w:val="center"/>
        <w:rPr>
          <w:vanish w:val="0"/>
        </w:rPr>
      </w:pPr>
      <w:r>
        <w:rPr>
          <w:i/>
        </w:rPr>
        <w:t xml:space="preserve">ngày </w:t>
      </w:r>
      <w:r>
        <w:rPr>
          <w:i/>
        </w:rPr>
        <w:t xml:space="preserve">11 </w:t>
      </w:r>
      <w:r>
        <w:rPr>
          <w:i/>
        </w:rPr>
        <w:t xml:space="preserve">tháng </w:t>
      </w:r>
      <w:r>
        <w:rPr>
          <w:i/>
        </w:rPr>
        <w:t xml:space="preserve">3</w:t>
      </w:r>
      <w:r>
        <w:rPr>
          <w:i/>
        </w:rPr>
        <w:t xml:space="preserve"> năm 2015 của Bộ trưởng Bộ Giáo dục và Đào tạo)</w:t>
      </w:r>
    </w:p>
    <w:p>
      <w:pPr>
        <w:pStyle w:val="Normal(Web)"/>
        <w:divId w:val="41"/>
        <w:jc w:val="center"/>
        <w:rPr>
          <w:vanish w:val="0"/>
        </w:rPr>
      </w:pPr>
      <w:r>
        <w:rPr>
          <w:b/>
        </w:rPr>
        <w:t xml:space="preserve">----------------------------------------</w:t>
      </w:r>
    </w:p>
    <w:p>
      <w:pPr>
        <w:pStyle w:val="Normal(Web)"/>
        <w:divId w:val="42"/>
        <w:rPr>
          <w:vanish w:val="0"/>
        </w:rPr>
      </w:pPr>
      <w:r>
        <w:rPr>
          <w:b/>
        </w:rPr>
        <w:t xml:space="preserve">I. CẤU TRÚC ĐỀ THI</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blHeader/>
          <w:jc w:val="left"/>
        </w:trPr>
        <w:tc>
          <w:tcPr>
            <w:tcW w:w="0" w:type="auto"/>
            <w:shd w:val="clear" w:color="auto" w:fill="auto"/>
            <w:vAlign w:val="center"/>
          </w:tcPr>
          <w:p>
            <w:pPr>
              <w:pStyle w:val="Normal(Web)"/>
              <w:divId w:val="43"/>
              <w:jc w:val="center"/>
              <w:rPr>
                <w:vanish w:val="0"/>
              </w:rPr>
            </w:pPr>
            <w:r>
              <w:rPr>
                <w:b/>
              </w:rPr>
              <w:t xml:space="preserve">Kỹ năng thi</w:t>
            </w:r>
          </w:p>
        </w:tc>
        <w:tc>
          <w:tcPr>
            <w:tcW w:w="0" w:type="auto"/>
            <w:shd w:val="clear" w:color="auto" w:fill="auto"/>
            <w:vAlign w:val="center"/>
          </w:tcPr>
          <w:p>
            <w:pPr>
              <w:pStyle w:val="Normal(Web)"/>
              <w:divId w:val="44"/>
              <w:jc w:val="center"/>
              <w:rPr>
                <w:vanish w:val="0"/>
              </w:rPr>
            </w:pPr>
            <w:r>
              <w:rPr>
                <w:b/>
              </w:rPr>
              <w:t xml:space="preserve">Mục đích</w:t>
            </w:r>
          </w:p>
        </w:tc>
        <w:tc>
          <w:tcPr>
            <w:tcW w:w="0" w:type="auto"/>
            <w:shd w:val="clear" w:color="auto" w:fill="auto"/>
            <w:vAlign w:val="center"/>
          </w:tcPr>
          <w:p>
            <w:pPr>
              <w:pStyle w:val="Normal(Web)"/>
              <w:divId w:val="45"/>
              <w:jc w:val="center"/>
              <w:rPr>
                <w:vanish w:val="0"/>
              </w:rPr>
            </w:pPr>
            <w:r>
              <w:rPr>
                <w:b/>
              </w:rPr>
              <w:t xml:space="preserve">Thời gian</w:t>
            </w:r>
          </w:p>
        </w:tc>
        <w:tc>
          <w:tcPr>
            <w:tcW w:w="0" w:type="auto"/>
            <w:shd w:val="clear" w:color="auto" w:fill="auto"/>
            <w:vAlign w:val="center"/>
          </w:tcPr>
          <w:p>
            <w:pPr>
              <w:pStyle w:val="Normal(Web)"/>
              <w:divId w:val="46"/>
              <w:jc w:val="center"/>
              <w:rPr>
                <w:vanish w:val="0"/>
              </w:rPr>
            </w:pPr>
            <w:r>
              <w:rPr>
                <w:b/>
              </w:rPr>
              <w:t xml:space="preserve">Số câu hỏi/nhiệm vụ bài thi</w:t>
            </w:r>
          </w:p>
        </w:tc>
        <w:tc>
          <w:tcPr>
            <w:tcW w:w="0" w:type="auto"/>
            <w:shd w:val="clear" w:color="auto" w:fill="auto"/>
            <w:vAlign w:val="center"/>
          </w:tcPr>
          <w:p>
            <w:pPr>
              <w:pStyle w:val="Normal(Web)"/>
              <w:divId w:val="47"/>
              <w:jc w:val="center"/>
              <w:rPr>
                <w:vanish w:val="0"/>
              </w:rPr>
            </w:pPr>
            <w:r>
              <w:rPr>
                <w:b/>
              </w:rPr>
              <w:t xml:space="preserve">Dạng câu hỏi/nhiệm vụ bài thi</w:t>
            </w:r>
          </w:p>
        </w:tc>
      </w:tr>
      <w:tr>
        <w:trPr>
          <w:jc w:val="left"/>
        </w:trPr>
        <w:tc>
          <w:tcPr>
            <w:tcW w:w="0" w:type="auto"/>
            <w:shd w:val="clear" w:color="auto" w:fill="auto"/>
            <w:vAlign w:val="center"/>
          </w:tcPr>
          <w:p>
            <w:pPr>
              <w:pStyle w:val="Normal(Web)"/>
              <w:divId w:val="48"/>
              <w:jc w:val="center"/>
              <w:rPr>
                <w:vanish w:val="0"/>
              </w:rPr>
            </w:pPr>
            <w:r>
              <w:rPr>
                <w:b/>
              </w:rPr>
              <w:t xml:space="preserve">Nghe </w:t>
            </w:r>
          </w:p>
        </w:tc>
        <w:tc>
          <w:tcPr>
            <w:tcW w:w="0" w:type="auto"/>
            <w:shd w:val="clear" w:color="auto" w:fill="auto"/>
            <w:vAlign w:val="center"/>
          </w:tcPr>
          <w:p>
            <w:pPr>
              <w:pStyle w:val="Normal(Web)"/>
              <w:divId w:val="49"/>
              <w:rPr>
                <w:vanish w:val="0"/>
              </w:rPr>
            </w:pPr>
            <w:r>
              <w:t xml:space="preserve">Kiểm tra các tiểu kĩ năng Nghe khác nhau, có độ khó từ bậc 3 đến bậc 5: nghe thông tin chi tiết, nghe hiểu thông tin chính, nghe hiểu ý kiến, mục đích của người nói và suy ra từ thông tin trong bài.</w:t>
            </w:r>
          </w:p>
        </w:tc>
        <w:tc>
          <w:tcPr>
            <w:tcW w:w="0" w:type="auto"/>
            <w:shd w:val="clear" w:color="auto" w:fill="auto"/>
            <w:vAlign w:val="center"/>
          </w:tcPr>
          <w:p>
            <w:pPr>
              <w:pStyle w:val="Normal(Web)"/>
              <w:divId w:val="50"/>
              <w:rPr>
                <w:vanish w:val="0"/>
              </w:rPr>
            </w:pPr>
            <w:r>
              <w:t xml:space="preserve">Khoảng 40 phút, bao gồm thời gian chuyển các phương án đã chọn sang phiếu trả lời.</w:t>
            </w:r>
          </w:p>
        </w:tc>
        <w:tc>
          <w:tcPr>
            <w:tcW w:w="0" w:type="auto"/>
            <w:shd w:val="clear" w:color="auto" w:fill="auto"/>
            <w:vAlign w:val="center"/>
          </w:tcPr>
          <w:p>
            <w:pPr>
              <w:pStyle w:val="Normal(Web)"/>
              <w:divId w:val="51"/>
              <w:rPr>
                <w:vanish w:val="0"/>
              </w:rPr>
            </w:pPr>
            <w:r>
              <w:t xml:space="preserve">3 phần, 35 câu hỏi nhiều lựa chọn </w:t>
            </w:r>
          </w:p>
        </w:tc>
        <w:tc>
          <w:tcPr>
            <w:tcW w:w="0" w:type="auto"/>
            <w:shd w:val="clear" w:color="auto" w:fill="auto"/>
            <w:vAlign w:val="center"/>
          </w:tcPr>
          <w:p>
            <w:pPr>
              <w:pStyle w:val="Normal(Web)"/>
              <w:divId w:val="52"/>
              <w:rPr>
                <w:vanish w:val="0"/>
              </w:rPr>
            </w:pPr>
            <w:r>
              <w:t xml:space="preserve">Thí sinh nghe các đoạn trao đổi ngắn, hướng dẫn, thông báo, các đoạn hội thoại và các bài nói chuyện, bài giảng, sau đó trả lời câu hỏi nhiều lựa chọn đã in sẵn trong đề thi.</w:t>
            </w:r>
          </w:p>
        </w:tc>
      </w:tr>
      <w:tr>
        <w:trPr>
          <w:jc w:val="left"/>
        </w:trPr>
        <w:tc>
          <w:tcPr>
            <w:tcW w:w="0" w:type="auto"/>
            <w:shd w:val="clear" w:color="auto" w:fill="auto"/>
            <w:vAlign w:val="center"/>
          </w:tcPr>
          <w:p>
            <w:pPr>
              <w:pStyle w:val="Normal(Web)"/>
              <w:divId w:val="53"/>
              <w:jc w:val="center"/>
              <w:rPr>
                <w:vanish w:val="0"/>
              </w:rPr>
            </w:pPr>
            <w:r>
              <w:rPr>
                <w:b/>
              </w:rPr>
              <w:t xml:space="preserve">Đọc </w:t>
            </w:r>
          </w:p>
        </w:tc>
        <w:tc>
          <w:tcPr>
            <w:tcW w:w="0" w:type="auto"/>
            <w:shd w:val="clear" w:color="auto" w:fill="auto"/>
            <w:vAlign w:val="center"/>
          </w:tcPr>
          <w:p>
            <w:pPr>
              <w:pStyle w:val="Normal(Web)"/>
              <w:divId w:val="54"/>
              <w:rPr>
                <w:vanish w:val="0"/>
              </w:rPr>
            </w:pPr>
            <w:r>
              <w:t xml:space="preserve">Kiểm tra các tiểu kĩ năng Đọc khác nhau, có độ khó từ bậc 3 đến bậc 5: đọc hiểu thông tin chi tiết, đọc hiểu ý chính, đọc hiểu ý kiến, thái độ của tác giả, suy ra từ thông tin trong bài và đoán nghĩa của từ trong văn cảnh.</w:t>
            </w:r>
          </w:p>
        </w:tc>
        <w:tc>
          <w:tcPr>
            <w:tcW w:w="0" w:type="auto"/>
            <w:shd w:val="clear" w:color="auto" w:fill="auto"/>
            <w:vAlign w:val="center"/>
          </w:tcPr>
          <w:p>
            <w:pPr>
              <w:pStyle w:val="Normal(Web)"/>
              <w:divId w:val="55"/>
              <w:rPr>
                <w:vanish w:val="0"/>
              </w:rPr>
            </w:pPr>
            <w:r>
              <w:t xml:space="preserve">60 phút, bao gồm thời gian chuyển </w:t>
            </w:r>
            <w:r>
              <w:t xml:space="preserve"> các phương án đã chọn </w:t>
            </w:r>
            <w:r>
              <w:t xml:space="preserve">sang phiếu trả lời.</w:t>
            </w:r>
          </w:p>
        </w:tc>
        <w:tc>
          <w:tcPr>
            <w:tcW w:w="0" w:type="auto"/>
            <w:shd w:val="clear" w:color="auto" w:fill="auto"/>
            <w:vAlign w:val="center"/>
          </w:tcPr>
          <w:p>
            <w:pPr>
              <w:pStyle w:val="Normal(Web)"/>
              <w:divId w:val="56"/>
              <w:rPr>
                <w:vanish w:val="0"/>
              </w:rPr>
            </w:pPr>
            <w:r>
              <w:t xml:space="preserve">4 bài đọc, 40 câu hỏi nhiều lựa chọn</w:t>
            </w:r>
          </w:p>
        </w:tc>
        <w:tc>
          <w:tcPr>
            <w:tcW w:w="0" w:type="auto"/>
            <w:shd w:val="clear" w:color="auto" w:fill="auto"/>
            <w:vAlign w:val="center"/>
          </w:tcPr>
          <w:p>
            <w:pPr>
              <w:pStyle w:val="Normal(Web)"/>
              <w:divId w:val="57"/>
              <w:rPr>
                <w:vanish w:val="0"/>
              </w:rPr>
            </w:pPr>
            <w:r>
              <w:t xml:space="preserve">Thí sinh đọc 4 văn bản về các vấn đề khác nhau, độ khó của văn bản tương đương bậc 3-5 với tổng số từ dao động từ 1900-2050 từ. Thí sinh trả lời các câu hỏi nhiều lựa chọn sau mỗi bài đọc.</w:t>
            </w:r>
          </w:p>
        </w:tc>
      </w:tr>
      <w:tr>
        <w:trPr>
          <w:jc w:val="left"/>
        </w:trPr>
        <w:tc>
          <w:tcPr>
            <w:tcW w:w="0" w:type="auto"/>
            <w:shd w:val="clear" w:color="auto" w:fill="auto"/>
            <w:vAlign w:val="center"/>
          </w:tcPr>
          <w:p>
            <w:pPr>
              <w:pStyle w:val="Normal(Web)"/>
              <w:divId w:val="58"/>
              <w:jc w:val="center"/>
              <w:rPr>
                <w:vanish w:val="0"/>
              </w:rPr>
            </w:pPr>
            <w:r>
              <w:rPr>
                <w:b/>
              </w:rPr>
              <w:t xml:space="preserve">Viết</w:t>
            </w:r>
          </w:p>
        </w:tc>
        <w:tc>
          <w:tcPr>
            <w:tcW w:w="0" w:type="auto"/>
            <w:shd w:val="clear" w:color="auto" w:fill="auto"/>
            <w:vAlign w:val="center"/>
          </w:tcPr>
          <w:p>
            <w:pPr>
              <w:pStyle w:val="Normal(Web)"/>
              <w:divId w:val="59"/>
              <w:rPr>
                <w:vanish w:val="0"/>
              </w:rPr>
            </w:pPr>
            <w:r>
              <w:t xml:space="preserve">Kiểm tra kĩ năng Viết tương tác và Viết luận (viết sản sinh).</w:t>
            </w:r>
          </w:p>
        </w:tc>
        <w:tc>
          <w:tcPr>
            <w:tcW w:w="0" w:type="auto"/>
            <w:shd w:val="clear" w:color="auto" w:fill="auto"/>
            <w:vAlign w:val="center"/>
          </w:tcPr>
          <w:p>
            <w:pPr>
              <w:pStyle w:val="Normal(Web)"/>
              <w:divId w:val="60"/>
              <w:rPr>
                <w:vanish w:val="0"/>
              </w:rPr>
            </w:pPr>
            <w:r>
              <w:t xml:space="preserve">60 phút</w:t>
            </w:r>
          </w:p>
        </w:tc>
        <w:tc>
          <w:tcPr>
            <w:tcW w:w="0" w:type="auto"/>
            <w:shd w:val="clear" w:color="auto" w:fill="auto"/>
            <w:vAlign w:val="center"/>
          </w:tcPr>
          <w:p>
            <w:pPr>
              <w:pStyle w:val="Normal(Web)"/>
              <w:divId w:val="61"/>
              <w:rPr>
                <w:vanish w:val="0"/>
              </w:rPr>
            </w:pPr>
            <w:r>
              <w:t xml:space="preserve">2 bài viết</w:t>
            </w:r>
          </w:p>
        </w:tc>
        <w:tc>
          <w:tcPr>
            <w:tcW w:w="0" w:type="auto"/>
            <w:shd w:val="clear" w:color="auto" w:fill="auto"/>
            <w:vAlign w:val="center"/>
          </w:tcPr>
          <w:p>
            <w:pPr>
              <w:pStyle w:val="Normal(Web)"/>
              <w:divId w:val="62"/>
              <w:rPr>
                <w:vanish w:val="0"/>
              </w:rPr>
            </w:pPr>
            <w:r>
              <w:t xml:space="preserve">Bài 1: Viết một bức thư/ thư điện tử có độ dài khoảng 120 từ. Bài 1 chiếm 1/3 tổng số điểm của bài thi Viết.</w:t>
            </w:r>
          </w:p>
          <w:p>
            <w:pPr>
              <w:pStyle w:val="Normal(Web)"/>
              <w:divId w:val="63"/>
              <w:rPr>
                <w:vanish w:val="0"/>
              </w:rPr>
            </w:pPr>
            <w:r>
              <w:t xml:space="preserve">Bài 2: Thí sinh viết một bài luận khoảng 250 từ về một chủ đề cho sẵn, sử dụng lí do và ví dụ cụ thể để minh họa cho các lập luận. Bài 2 chiếm 2/3 tổng số điểm của bài thi Viết.</w:t>
            </w:r>
          </w:p>
        </w:tc>
      </w:tr>
      <w:tr>
        <w:trPr>
          <w:jc w:val="left"/>
        </w:trPr>
        <w:tc>
          <w:tcPr>
            <w:tcW w:w="0" w:type="auto"/>
            <w:shd w:val="clear" w:color="auto" w:fill="auto"/>
            <w:vAlign w:val="center"/>
          </w:tcPr>
          <w:p>
            <w:pPr>
              <w:pStyle w:val="Normal(Web)"/>
              <w:divId w:val="64"/>
              <w:rPr>
                <w:vanish w:val="0"/>
              </w:rPr>
            </w:pPr>
            <w:r>
              <w:rPr>
                <w:b/>
              </w:rPr>
              <w:t xml:space="preserve">Nói</w:t>
            </w:r>
          </w:p>
        </w:tc>
        <w:tc>
          <w:tcPr>
            <w:tcW w:w="0" w:type="auto"/>
            <w:shd w:val="clear" w:color="auto" w:fill="auto"/>
            <w:vAlign w:val="center"/>
          </w:tcPr>
          <w:p>
            <w:pPr>
              <w:pStyle w:val="Normal(Web)"/>
              <w:divId w:val="65"/>
              <w:rPr>
                <w:vanish w:val="0"/>
              </w:rPr>
            </w:pPr>
            <w:r>
              <w:t xml:space="preserve">Kiểm tra các kĩ năng Nói khác nhau: tương tác, thảo luận và trình bày một vấn đề.</w:t>
            </w:r>
          </w:p>
        </w:tc>
        <w:tc>
          <w:tcPr>
            <w:tcW w:w="0" w:type="auto"/>
            <w:shd w:val="clear" w:color="auto" w:fill="auto"/>
            <w:vAlign w:val="center"/>
          </w:tcPr>
          <w:p>
            <w:pPr>
              <w:pStyle w:val="Normal(Web)"/>
              <w:divId w:val="66"/>
              <w:rPr>
                <w:vanish w:val="0"/>
              </w:rPr>
            </w:pPr>
            <w:r>
              <w:t xml:space="preserve">12 phút</w:t>
            </w:r>
          </w:p>
        </w:tc>
        <w:tc>
          <w:tcPr>
            <w:tcW w:w="0" w:type="auto"/>
            <w:shd w:val="clear" w:color="auto" w:fill="auto"/>
            <w:vAlign w:val="center"/>
          </w:tcPr>
          <w:p>
            <w:pPr>
              <w:pStyle w:val="Normal(Web)"/>
              <w:divId w:val="67"/>
              <w:rPr>
                <w:vanish w:val="0"/>
              </w:rPr>
            </w:pPr>
            <w:r>
              <w:t xml:space="preserve">3 phần</w:t>
            </w:r>
          </w:p>
        </w:tc>
        <w:tc>
          <w:tcPr>
            <w:tcW w:w="0" w:type="auto"/>
            <w:shd w:val="clear" w:color="auto" w:fill="auto"/>
            <w:vAlign w:val="center"/>
          </w:tcPr>
          <w:p>
            <w:pPr>
              <w:pStyle w:val="Normal(Web)"/>
              <w:divId w:val="68"/>
              <w:rPr>
                <w:vanish w:val="0"/>
              </w:rPr>
            </w:pPr>
            <w:r>
              <w:t xml:space="preserve">Phần 1: </w:t>
            </w:r>
            <w:r>
              <w:rPr>
                <w:i/>
              </w:rPr>
              <w:t xml:space="preserve">Tương tác xã hội</w:t>
            </w:r>
          </w:p>
          <w:p>
            <w:pPr>
              <w:pStyle w:val="Normal(Web)"/>
              <w:divId w:val="69"/>
              <w:rPr>
                <w:vanish w:val="0"/>
              </w:rPr>
            </w:pPr>
            <w:r>
              <w:t xml:space="preserve">Thí sinh trả lời 3-6 câu hỏi về 2 chủ đề khác nhau.</w:t>
            </w:r>
          </w:p>
          <w:p>
            <w:pPr>
              <w:pStyle w:val="Normal(Web)"/>
              <w:divId w:val="70"/>
              <w:rPr>
                <w:vanish w:val="0"/>
              </w:rPr>
            </w:pPr>
            <w:r>
              <w:t xml:space="preserve">Phần 2: </w:t>
            </w:r>
            <w:r>
              <w:rPr>
                <w:i/>
              </w:rPr>
              <w:t xml:space="preserve">Thảo luận giải pháp</w:t>
            </w:r>
          </w:p>
          <w:p>
            <w:pPr>
              <w:pStyle w:val="Normal(Web)"/>
              <w:divId w:val="71"/>
              <w:rPr>
                <w:vanish w:val="0"/>
              </w:rPr>
            </w:pPr>
            <w:r>
              <w:t xml:space="preserve">Thí sinh được cung cấp một tình huống và 3 giải pháp đề xuất. Thí sinh phải đưa ra ý kiến về giải pháp tốt nhất trong 3 giải pháp được đưa ra và phản biện các giải pháp còn lại. </w:t>
            </w:r>
          </w:p>
          <w:p>
            <w:pPr>
              <w:pStyle w:val="Normal(Web)"/>
              <w:divId w:val="72"/>
              <w:rPr>
                <w:vanish w:val="0"/>
              </w:rPr>
            </w:pPr>
            <w:r>
              <w:t xml:space="preserve">Phần 3: </w:t>
            </w:r>
            <w:r>
              <w:rPr>
                <w:i/>
              </w:rPr>
              <w:t xml:space="preserve">Phát triển chủ đề</w:t>
            </w:r>
            <w:r>
              <w:t xml:space="preserve"> </w:t>
            </w:r>
          </w:p>
          <w:p>
            <w:pPr>
              <w:pStyle w:val="Normal(Web)"/>
              <w:divId w:val="73"/>
              <w:rPr>
                <w:vanish w:val="0"/>
              </w:rPr>
            </w:pPr>
            <w:r>
              <w:t xml:space="preserve">Thí sinh nói về một chủ đề cho sẵn, có thể sử dụng các ý được cung cấp sẵn hoặc tự phát triển ý của riêng mình. Phần 3 kết thúc với một số câu hỏi thảo luận về chủ đề trên.</w:t>
            </w:r>
          </w:p>
        </w:tc>
      </w:tr>
    </w:tbl>
    <w:p>
      <w:pPr>
        <w:pStyle w:val="Normal(Web)"/>
        <w:divId w:val="74"/>
        <w:rPr>
          <w:vanish w:val="0"/>
        </w:rPr>
      </w:pPr>
      <w:r>
        <w:rPr>
          <w:b/>
        </w:rPr>
        <w:t xml:space="preserve">II. QUY ĐỊNH VỀ QUY ĐỔI ĐIỂM THI SANG CÁC BẬC NĂNG LỰC</w:t>
      </w:r>
    </w:p>
    <w:p>
      <w:pPr>
        <w:pStyle w:val="Normal(Web)"/>
        <w:divId w:val="75"/>
        <w:rPr>
          <w:vanish w:val="0"/>
        </w:rPr>
      </w:pPr>
      <w:r>
        <w:rPr>
          <w:b/>
        </w:rPr>
        <w:t xml:space="preserve">1. Cách tính điểm thi</w:t>
      </w:r>
    </w:p>
    <w:p>
      <w:pPr>
        <w:pStyle w:val="Normal(Web)"/>
        <w:divId w:val="76"/>
        <w:rPr>
          <w:vanish w:val="0"/>
        </w:rPr>
      </w:pPr>
      <w:r>
        <w:t xml:space="preserve">- Mỗi kỹ năng thi: Nghe, Đọc, Viết và Nói được đánh giá trên thang điểm từ 0 đến 10, làm tròn đến 0,5 điểm.</w:t>
      </w:r>
    </w:p>
    <w:p>
      <w:pPr>
        <w:pStyle w:val="Normal(Web)"/>
        <w:divId w:val="77"/>
        <w:rPr>
          <w:vanish w:val="0"/>
        </w:rPr>
      </w:pPr>
      <w:r>
        <w:t xml:space="preserve">- Điểm trung bình của 4 kỹ năng, làm tròn đến 0,5 điểm, được sử dụng để xác định bậc năng lực sử dụng tiếng Anh.</w:t>
      </w:r>
    </w:p>
    <w:p>
      <w:pPr>
        <w:pStyle w:val="Normal(Web)"/>
        <w:divId w:val="78"/>
        <w:rPr>
          <w:vanish w:val="0"/>
        </w:rPr>
      </w:pPr>
      <w:r>
        <w:rPr>
          <w:b/>
        </w:rPr>
        <w:t xml:space="preserve">2. Bảng quy đổi điểm thi sang các bậc năng lực</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79"/>
              <w:jc w:val="center"/>
              <w:rPr>
                <w:vanish w:val="0"/>
              </w:rPr>
            </w:pPr>
            <w:r>
              <w:rPr>
                <w:b/>
              </w:rPr>
              <w:t xml:space="preserve">Điểm trung bình</w:t>
            </w:r>
          </w:p>
        </w:tc>
        <w:tc>
          <w:tcPr>
            <w:tcW w:w="0" w:type="auto"/>
            <w:shd w:val="clear" w:color="auto" w:fill="auto"/>
            <w:vAlign w:val="center"/>
          </w:tcPr>
          <w:p>
            <w:pPr>
              <w:pStyle w:val="Normal(Web)"/>
              <w:divId w:val="80"/>
              <w:jc w:val="center"/>
              <w:rPr>
                <w:vanish w:val="0"/>
              </w:rPr>
            </w:pPr>
            <w:r>
              <w:rPr>
                <w:b/>
              </w:rPr>
              <w:t xml:space="preserve">Bậc năng lực</w:t>
            </w:r>
          </w:p>
        </w:tc>
        <w:tc>
          <w:tcPr>
            <w:tcW w:w="0" w:type="auto"/>
            <w:shd w:val="clear" w:color="auto" w:fill="auto"/>
            <w:vAlign w:val="center"/>
          </w:tcPr>
          <w:p>
            <w:pPr>
              <w:pStyle w:val="Normal(Web)"/>
              <w:divId w:val="81"/>
              <w:jc w:val="center"/>
              <w:rPr>
                <w:vanish w:val="0"/>
              </w:rPr>
            </w:pPr>
            <w:r>
              <w:rPr>
                <w:b/>
              </w:rPr>
              <w:t xml:space="preserve">Mô tả tổng quát</w:t>
            </w:r>
          </w:p>
        </w:tc>
      </w:tr>
      <w:tr>
        <w:trPr>
          <w:jc w:val="left"/>
        </w:trPr>
        <w:tc>
          <w:tcPr>
            <w:tcW w:w="0" w:type="auto"/>
            <w:shd w:val="clear" w:color="auto" w:fill="auto"/>
            <w:vAlign w:val="center"/>
          </w:tcPr>
          <w:p>
            <w:pPr>
              <w:pStyle w:val="Normal(Web)"/>
              <w:divId w:val="82"/>
              <w:jc w:val="center"/>
              <w:rPr>
                <w:vanish w:val="0"/>
              </w:rPr>
            </w:pPr>
            <w:r>
              <w:rPr>
                <w:b/>
              </w:rPr>
              <w:t xml:space="preserve">Dưới 4,0</w:t>
            </w:r>
          </w:p>
        </w:tc>
        <w:tc>
          <w:tcPr>
            <w:tcW w:w="0" w:type="auto"/>
            <w:shd w:val="clear" w:color="auto" w:fill="auto"/>
            <w:vAlign w:val="center"/>
          </w:tcPr>
          <w:p>
            <w:pPr>
              <w:pStyle w:val="Normal(Web)"/>
              <w:divId w:val="83"/>
              <w:jc w:val="center"/>
              <w:rPr>
                <w:vanish w:val="0"/>
              </w:rPr>
            </w:pPr>
            <w:r>
              <w:rPr>
                <w:b/>
              </w:rPr>
              <w:t xml:space="preserve">Không xét</w:t>
            </w:r>
          </w:p>
        </w:tc>
        <w:tc>
          <w:tcPr>
            <w:tcW w:w="0" w:type="auto"/>
            <w:shd w:val="clear" w:color="auto" w:fill="auto"/>
            <w:vAlign w:val="center"/>
          </w:tcPr>
          <w:p>
            <w:pPr>
              <w:pStyle w:val="Normal(Web)"/>
              <w:divId w:val="84"/>
              <w:rPr>
                <w:vanish w:val="0"/>
              </w:rPr>
            </w:pPr>
            <w:r>
              <w:t xml:space="preserve">Không xét khi sử dụng định dạng đề thi này.</w:t>
            </w:r>
          </w:p>
        </w:tc>
      </w:tr>
      <w:tr>
        <w:trPr>
          <w:jc w:val="left"/>
        </w:trPr>
        <w:tc>
          <w:tcPr>
            <w:tcW w:w="0" w:type="auto"/>
            <w:shd w:val="clear" w:color="auto" w:fill="auto"/>
            <w:vAlign w:val="center"/>
          </w:tcPr>
          <w:p>
            <w:pPr>
              <w:pStyle w:val="Normal(Web)"/>
              <w:divId w:val="85"/>
              <w:jc w:val="center"/>
              <w:rPr>
                <w:vanish w:val="0"/>
              </w:rPr>
            </w:pPr>
            <w:r>
              <w:rPr>
                <w:b/>
              </w:rPr>
              <w:t xml:space="preserve">4,0 – 5,5 </w:t>
            </w:r>
          </w:p>
        </w:tc>
        <w:tc>
          <w:tcPr>
            <w:tcW w:w="0" w:type="auto"/>
            <w:shd w:val="clear" w:color="auto" w:fill="auto"/>
            <w:vAlign w:val="center"/>
          </w:tcPr>
          <w:p>
            <w:pPr>
              <w:pStyle w:val="Normal(Web)"/>
              <w:divId w:val="86"/>
              <w:jc w:val="center"/>
              <w:rPr>
                <w:vanish w:val="0"/>
              </w:rPr>
            </w:pPr>
            <w:r>
              <w:rPr>
                <w:b/>
              </w:rPr>
              <w:t xml:space="preserve">3</w:t>
            </w:r>
          </w:p>
        </w:tc>
        <w:tc>
          <w:tcPr>
            <w:tcW w:w="0" w:type="auto"/>
            <w:shd w:val="clear" w:color="auto" w:fill="auto"/>
            <w:vAlign w:val="center"/>
          </w:tcPr>
          <w:p>
            <w:pPr>
              <w:pStyle w:val="Normal(Web)"/>
              <w:divId w:val="87"/>
              <w:rPr>
                <w:vanish w:val="0"/>
              </w:rPr>
            </w:pPr>
            <w:r>
              <w:t xml:space="preserve">Có thể hiểu được các ý chính của một đoạn văn hay bài phát biểu chuẩn mực về câu từ, rõ ràng về các chủ đề quen thuộc hay gặp trong công việc, học tập, giải trí, v.v... Có thể xử lí hầu hết các tình huống xảy ra lúc đi lại tại khu vực có sử dụng tiếng Anh. Có thể viết văn bản đơn giản liên quan đến các chủ đề quen thuộc hoặc cá nhân quan tâm. Có thể mô tả được những trải nghiệm, sự kiện, mơ ước, hi vọng, hoài bão và có thể trình bày ngắn gọn các lí do, giải thích cho ý kiến và kế hoạch của mình.</w:t>
            </w:r>
          </w:p>
        </w:tc>
      </w:tr>
      <w:tr>
        <w:trPr>
          <w:jc w:val="left"/>
        </w:trPr>
        <w:tc>
          <w:tcPr>
            <w:tcW w:w="0" w:type="auto"/>
            <w:shd w:val="clear" w:color="auto" w:fill="auto"/>
            <w:vAlign w:val="center"/>
          </w:tcPr>
          <w:p>
            <w:pPr>
              <w:pStyle w:val="Normal(Web)"/>
              <w:divId w:val="88"/>
              <w:jc w:val="center"/>
              <w:rPr>
                <w:vanish w:val="0"/>
              </w:rPr>
            </w:pPr>
            <w:r>
              <w:rPr>
                <w:b/>
              </w:rPr>
              <w:t xml:space="preserve">6,0 – 8,0</w:t>
            </w:r>
          </w:p>
        </w:tc>
        <w:tc>
          <w:tcPr>
            <w:tcW w:w="0" w:type="auto"/>
            <w:shd w:val="clear" w:color="auto" w:fill="auto"/>
            <w:vAlign w:val="center"/>
          </w:tcPr>
          <w:p>
            <w:pPr>
              <w:pStyle w:val="Normal(Web)"/>
              <w:divId w:val="89"/>
              <w:jc w:val="center"/>
              <w:rPr>
                <w:vanish w:val="0"/>
              </w:rPr>
            </w:pPr>
            <w:r>
              <w:rPr>
                <w:b/>
              </w:rPr>
              <w:t xml:space="preserve">4</w:t>
            </w:r>
          </w:p>
        </w:tc>
        <w:tc>
          <w:tcPr>
            <w:tcW w:w="0" w:type="auto"/>
            <w:shd w:val="clear" w:color="auto" w:fill="auto"/>
            <w:vAlign w:val="center"/>
          </w:tcPr>
          <w:p>
            <w:pPr>
              <w:pStyle w:val="Normal(Web)"/>
              <w:divId w:val="90"/>
              <w:rPr>
                <w:vanish w:val="0"/>
              </w:rPr>
            </w:pPr>
            <w:r>
              <w:t xml:space="preserve">Có thể hiểu ý chính của một văn bản phức tạp về các chủ đề cụ thể và trừu tượng, kể cả những trao đổi kĩ thuật thuộc lĩnh vực chuyên môn của bản thân. Có thể giao tiếp ở mức độ trôi chảy, tự nhiên đạt đến mức các giao tiếp thường xuyên này với người bản ngữ không gây khó khăn cho cả hai bên. Có thể viết được các văn bản rõ ràng, chi tiết về nhiều chủ đề khác nhau và có thể giải thích quan điểm của mình về một vấn đề có tính thời sự, nêu ra được những ưu điểm, nhược điểm của các phương án lựa chọn khác nhau.</w:t>
            </w:r>
          </w:p>
        </w:tc>
      </w:tr>
      <w:tr>
        <w:trPr>
          <w:jc w:val="left"/>
        </w:trPr>
        <w:tc>
          <w:tcPr>
            <w:tcW w:w="0" w:type="auto"/>
            <w:shd w:val="clear" w:color="auto" w:fill="auto"/>
            <w:vAlign w:val="center"/>
          </w:tcPr>
          <w:p>
            <w:pPr>
              <w:pStyle w:val="Normal(Web)"/>
              <w:divId w:val="91"/>
              <w:jc w:val="center"/>
              <w:rPr>
                <w:vanish w:val="0"/>
              </w:rPr>
            </w:pPr>
            <w:r>
              <w:rPr>
                <w:b/>
              </w:rPr>
              <w:t xml:space="preserve">8,5 – 10</w:t>
            </w:r>
          </w:p>
        </w:tc>
        <w:tc>
          <w:tcPr>
            <w:tcW w:w="0" w:type="auto"/>
            <w:shd w:val="clear" w:color="auto" w:fill="auto"/>
            <w:vAlign w:val="center"/>
          </w:tcPr>
          <w:p>
            <w:pPr>
              <w:pStyle w:val="Normal(Web)"/>
              <w:divId w:val="92"/>
              <w:jc w:val="center"/>
              <w:rPr>
                <w:vanish w:val="0"/>
              </w:rPr>
            </w:pPr>
            <w:r>
              <w:rPr>
                <w:b/>
              </w:rPr>
              <w:t xml:space="preserve">5</w:t>
            </w:r>
          </w:p>
        </w:tc>
        <w:tc>
          <w:tcPr>
            <w:tcW w:w="0" w:type="auto"/>
            <w:shd w:val="clear" w:color="auto" w:fill="auto"/>
            <w:vAlign w:val="center"/>
          </w:tcPr>
          <w:p>
            <w:pPr>
              <w:pStyle w:val="Normal(Web)"/>
              <w:divId w:val="93"/>
              <w:rPr>
                <w:vanish w:val="0"/>
              </w:rPr>
            </w:pPr>
            <w:r>
              <w:t xml:space="preserve">Có thể hiểu nhiều loại văn bản khó, dài, và nhận biết được hàm ý. Có thể diễn đạt lưu loát, tức thì, và không thể hiện rõ rệt việc phải tìm từ ngữ diễn đạt. Có thể sử dụng ngôn ngữ linh hoạt và hiệu quả phục vụ các mục đích xã hội, học thuật và chuyên môn. Có thể viết được các văn bản rõ ràng, chặt chẽ, chi tiết về các chủ đề phức tạp, thể hiện khả năng sử dụng tốt các kiểu </w:t>
            </w:r>
            <w:r>
              <w:t xml:space="preserve">tổ chức </w:t>
            </w:r>
            <w:r>
              <w:t xml:space="preserve">văn bản, liên từ và các phương tiện liên kết.</w:t>
            </w:r>
          </w:p>
        </w:tc>
      </w:tr>
    </w:tbl>
    <w:p>
      <w:pPr>
        <w:pStyle w:val="Normal(Web)"/>
        <w:divId w:val="94"/>
        <w:jc w:val="center"/>
        <w:rPr>
          <w:vanish w:val="0"/>
        </w:rPr>
      </w:pPr>
      <w:r>
        <w:rPr>
          <w:b/>
        </w:rPr>
        <w:t xml:space="preserve">KT. BỘ TRƯỞNG</w:t>
      </w:r>
    </w:p>
    <w:p>
      <w:pPr>
        <w:pStyle w:val="Normal(Web)"/>
        <w:divId w:val="95"/>
        <w:jc w:val="center"/>
        <w:rPr>
          <w:vanish w:val="0"/>
        </w:rPr>
      </w:pPr>
      <w:r>
        <w:rPr>
          <w:b/>
        </w:rPr>
        <w:t xml:space="preserve">THỨ TRƯỞNG</w:t>
      </w:r>
    </w:p>
    <w:p>
      <w:pPr>
        <w:pStyle w:val="Normal(Web)"/>
        <w:divId w:val="96"/>
        <w:jc w:val="center"/>
        <w:rPr>
          <w:vanish w:val="0"/>
        </w:rPr>
      </w:pPr>
      <w:r>
        <w:rPr>
          <w:b/>
        </w:rPr>
        <w:t xml:space="preserve">Đã ký</w:t>
      </w:r>
    </w:p>
    <w:p>
      <w:pPr>
        <w:pStyle w:val="Normal(Web)"/>
        <w:divId w:val="97"/>
        <w:jc w:val="center"/>
        <w:rPr>
          <w:vanish w:val="0"/>
        </w:rPr>
      </w:pPr>
      <w:r>
        <w:rPr>
          <w:b/>
        </w:rPr>
        <w:t xml:space="preserve">Nguyễn Vinh Hiển</w:t>
      </w: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
    <w:div w:id="15">
      <w:marLeft w:val="0"/>
      <w:marRight w:val="0"/>
      <w:marTop w:val="-20"/>
      <w:marBottom w:val="-20"/>
      <w:divBdr>
        <w:top w:val="none" w:sz="0" w:space="0" w:color="auto"/>
        <w:left w:val="none" w:sz="0" w:space="0" w:color="auto"/>
        <w:bottom w:val="none" w:sz="0" w:space="0" w:color="auto"/>
        <w:right w:val="none" w:sz="0" w:space="0" w:color="auto"/>
      </w:divBdr>
    </w:div>
    <w:div w:id="16">
      <w:marLeft w:val="0"/>
      <w:marRight w:val="0"/>
      <w:marTop w:val="-20"/>
      <w:marBottom w:val="-20"/>
      <w:divBdr>
        <w:top w:val="none" w:sz="0" w:space="0" w:color="auto"/>
        <w:left w:val="none" w:sz="0" w:space="0" w:color="auto"/>
        <w:bottom w:val="none" w:sz="0" w:space="0" w:color="auto"/>
        <w:right w:val="none" w:sz="0" w:space="0" w:color="auto"/>
      </w:divBdr>
    </w:div>
    <w:div w:id="17">
      <w:marLeft w:val="0"/>
      <w:marRight w:val="0"/>
      <w:marTop w:val="-20"/>
      <w:marBottom w:val="-20"/>
      <w:divBdr>
        <w:top w:val="none" w:sz="0" w:space="0" w:color="auto"/>
        <w:left w:val="none" w:sz="0" w:space="0" w:color="auto"/>
        <w:bottom w:val="none" w:sz="0" w:space="0" w:color="auto"/>
        <w:right w:val="none" w:sz="0" w:space="0" w:color="auto"/>
      </w:divBdr>
    </w:div>
    <w:div w:id="18">
      <w:marLeft w:val="0"/>
      <w:marRight w:val="0"/>
      <w:marTop w:val="-20"/>
      <w:marBottom w:val="-20"/>
      <w:divBdr>
        <w:top w:val="none" w:sz="0" w:space="0" w:color="auto"/>
        <w:left w:val="none" w:sz="0" w:space="0" w:color="auto"/>
        <w:bottom w:val="none" w:sz="0" w:space="0" w:color="auto"/>
        <w:right w:val="none" w:sz="0" w:space="0" w:color="auto"/>
      </w:divBdr>
    </w:div>
    <w:div w:id="19">
      <w:marLeft w:val="0"/>
      <w:marRight w:val="0"/>
      <w:marTop w:val="-20"/>
      <w:marBottom w:val="-20"/>
      <w:divBdr>
        <w:top w:val="none" w:sz="0" w:space="0" w:color="auto"/>
        <w:left w:val="none" w:sz="0" w:space="0" w:color="auto"/>
        <w:bottom w:val="none" w:sz="0" w:space="0" w:color="auto"/>
        <w:right w:val="none" w:sz="0" w:space="0" w:color="auto"/>
      </w:divBdr>
    </w:div>
    <w:div w:id="20">
      <w:marLeft w:val="0"/>
      <w:marRight w:val="0"/>
      <w:marTop w:val="-20"/>
      <w:marBottom w:val="-20"/>
      <w:divBdr>
        <w:top w:val="none" w:sz="0" w:space="0" w:color="auto"/>
        <w:left w:val="none" w:sz="0" w:space="0" w:color="auto"/>
        <w:bottom w:val="none" w:sz="0" w:space="0" w:color="auto"/>
        <w:right w:val="none" w:sz="0" w:space="0" w:color="auto"/>
      </w:divBdr>
    </w:div>
    <w:div w:id="21">
      <w:marLeft w:val="0"/>
      <w:marRight w:val="0"/>
      <w:marTop w:val="-20"/>
      <w:marBottom w:val="-20"/>
      <w:divBdr>
        <w:top w:val="none" w:sz="0" w:space="0" w:color="auto"/>
        <w:left w:val="none" w:sz="0" w:space="0" w:color="auto"/>
        <w:bottom w:val="none" w:sz="0" w:space="0" w:color="auto"/>
        <w:right w:val="none" w:sz="0" w:space="0" w:color="auto"/>
      </w:divBdr>
    </w:div>
    <w:div w:id="22">
      <w:marLeft w:val="0"/>
      <w:marRight w:val="0"/>
      <w:marTop w:val="-20"/>
      <w:marBottom w:val="-20"/>
      <w:divBdr>
        <w:top w:val="none" w:sz="0" w:space="0" w:color="auto"/>
        <w:left w:val="none" w:sz="0" w:space="0" w:color="auto"/>
        <w:bottom w:val="none" w:sz="0" w:space="0" w:color="auto"/>
        <w:right w:val="none" w:sz="0" w:space="0" w:color="auto"/>
      </w:divBdr>
    </w:div>
    <w:div w:id="23">
      <w:marLeft w:val="0"/>
      <w:marRight w:val="0"/>
      <w:marTop w:val="-20"/>
      <w:marBottom w:val="-20"/>
      <w:divBdr>
        <w:top w:val="none" w:sz="0" w:space="0" w:color="auto"/>
        <w:left w:val="none" w:sz="0" w:space="0" w:color="auto"/>
        <w:bottom w:val="none" w:sz="0" w:space="0" w:color="auto"/>
        <w:right w:val="none" w:sz="0" w:space="0" w:color="auto"/>
      </w:divBdr>
    </w:div>
    <w:div w:id="24">
      <w:marLeft w:val="0"/>
      <w:marRight w:val="0"/>
      <w:marTop w:val="-20"/>
      <w:marBottom w:val="-20"/>
      <w:divBdr>
        <w:top w:val="none" w:sz="0" w:space="0" w:color="auto"/>
        <w:left w:val="none" w:sz="0" w:space="0" w:color="auto"/>
        <w:bottom w:val="none" w:sz="0" w:space="0" w:color="auto"/>
        <w:right w:val="none" w:sz="0" w:space="0" w:color="auto"/>
      </w:divBdr>
    </w:div>
    <w:div w:id="25">
      <w:marLeft w:val="0"/>
      <w:marRight w:val="0"/>
      <w:marTop w:val="-20"/>
      <w:marBottom w:val="-20"/>
      <w:divBdr>
        <w:top w:val="none" w:sz="0" w:space="0" w:color="auto"/>
        <w:left w:val="none" w:sz="0" w:space="0" w:color="auto"/>
        <w:bottom w:val="none" w:sz="0" w:space="0" w:color="auto"/>
        <w:right w:val="none" w:sz="0" w:space="0" w:color="auto"/>
      </w:divBdr>
    </w:div>
    <w:div w:id="26">
      <w:marLeft w:val="0"/>
      <w:marRight w:val="0"/>
      <w:marTop w:val="-20"/>
      <w:marBottom w:val="-20"/>
      <w:divBdr>
        <w:top w:val="none" w:sz="0" w:space="0" w:color="auto"/>
        <w:left w:val="none" w:sz="0" w:space="0" w:color="auto"/>
        <w:bottom w:val="none" w:sz="0" w:space="0" w:color="auto"/>
        <w:right w:val="none" w:sz="0" w:space="0" w:color="auto"/>
      </w:divBdr>
    </w:div>
    <w:div w:id="27">
      <w:marLeft w:val="0"/>
      <w:marRight w:val="0"/>
      <w:marTop w:val="-20"/>
      <w:marBottom w:val="-20"/>
      <w:divBdr>
        <w:top w:val="none" w:sz="0" w:space="0" w:color="auto"/>
        <w:left w:val="none" w:sz="0" w:space="0" w:color="auto"/>
        <w:bottom w:val="none" w:sz="0" w:space="0" w:color="auto"/>
        <w:right w:val="none" w:sz="0" w:space="0" w:color="auto"/>
      </w:divBdr>
    </w:div>
    <w:div w:id="28">
      <w:marLeft w:val="0"/>
      <w:marRight w:val="0"/>
      <w:marTop w:val="-20"/>
      <w:marBottom w:val="-20"/>
      <w:divBdr>
        <w:top w:val="none" w:sz="0" w:space="0" w:color="auto"/>
        <w:left w:val="none" w:sz="0" w:space="0" w:color="auto"/>
        <w:bottom w:val="none" w:sz="0" w:space="0" w:color="auto"/>
        <w:right w:val="none" w:sz="0" w:space="0" w:color="auto"/>
      </w:divBdr>
    </w:div>
    <w:div w:id="29">
      <w:marLeft w:val="0"/>
      <w:marRight w:val="0"/>
      <w:marTop w:val="-20"/>
      <w:marBottom w:val="-20"/>
      <w:divBdr>
        <w:top w:val="none" w:sz="0" w:space="0" w:color="auto"/>
        <w:left w:val="none" w:sz="0" w:space="0" w:color="auto"/>
        <w:bottom w:val="none" w:sz="0" w:space="0" w:color="auto"/>
        <w:right w:val="none" w:sz="0" w:space="0" w:color="auto"/>
      </w:divBdr>
    </w:div>
    <w:div w:id="30">
      <w:marLeft w:val="0"/>
      <w:marRight w:val="0"/>
      <w:marTop w:val="-20"/>
      <w:marBottom w:val="-20"/>
      <w:divBdr>
        <w:top w:val="none" w:sz="0" w:space="0" w:color="auto"/>
        <w:left w:val="none" w:sz="0" w:space="0" w:color="auto"/>
        <w:bottom w:val="none" w:sz="0" w:space="0" w:color="auto"/>
        <w:right w:val="none" w:sz="0" w:space="0" w:color="auto"/>
      </w:divBdr>
    </w:div>
    <w:div w:id="31">
      <w:marLeft w:val="0"/>
      <w:marRight w:val="0"/>
      <w:marTop w:val="-20"/>
      <w:marBottom w:val="-20"/>
      <w:divBdr>
        <w:top w:val="none" w:sz="0" w:space="0" w:color="auto"/>
        <w:left w:val="none" w:sz="0" w:space="0" w:color="auto"/>
        <w:bottom w:val="none" w:sz="0" w:space="0" w:color="auto"/>
        <w:right w:val="none" w:sz="0" w:space="0" w:color="auto"/>
      </w:divBdr>
      <w:divsChild>
        <w:div w:id="32">
          <w:marLeft w:val="0"/>
          <w:marRight w:val="0"/>
          <w:marTop w:val="-20"/>
          <w:marBottom w:val="-20"/>
          <w:divBdr>
            <w:top w:val="none" w:sz="0" w:space="0" w:color="auto"/>
            <w:left w:val="none" w:sz="0" w:space="0" w:color="auto"/>
            <w:bottom w:val="none" w:sz="0" w:space="0" w:color="auto"/>
            <w:right w:val="none" w:sz="0" w:space="0" w:color="auto"/>
          </w:divBdr>
        </w:div>
        <w:div w:id="33">
          <w:marLeft w:val="0"/>
          <w:marRight w:val="0"/>
          <w:marTop w:val="-20"/>
          <w:marBottom w:val="-20"/>
          <w:divBdr>
            <w:top w:val="none" w:sz="0" w:space="0" w:color="auto"/>
            <w:left w:val="none" w:sz="0" w:space="0" w:color="auto"/>
            <w:bottom w:val="none" w:sz="0" w:space="0" w:color="auto"/>
            <w:right w:val="none" w:sz="0" w:space="0" w:color="auto"/>
          </w:divBdr>
        </w:div>
        <w:div w:id="34">
          <w:marLeft w:val="0"/>
          <w:marRight w:val="0"/>
          <w:marTop w:val="-20"/>
          <w:marBottom w:val="-20"/>
          <w:divBdr>
            <w:top w:val="none" w:sz="0" w:space="0" w:color="auto"/>
            <w:left w:val="none" w:sz="0" w:space="0" w:color="auto"/>
            <w:bottom w:val="none" w:sz="0" w:space="0" w:color="auto"/>
            <w:right w:val="none" w:sz="0" w:space="0" w:color="auto"/>
          </w:divBdr>
        </w:div>
        <w:div w:id="35">
          <w:marLeft w:val="0"/>
          <w:marRight w:val="0"/>
          <w:marTop w:val="-20"/>
          <w:marBottom w:val="-20"/>
          <w:divBdr>
            <w:top w:val="none" w:sz="0" w:space="0" w:color="auto"/>
            <w:left w:val="none" w:sz="0" w:space="0" w:color="auto"/>
            <w:bottom w:val="none" w:sz="0" w:space="0" w:color="auto"/>
            <w:right w:val="none" w:sz="0" w:space="0" w:color="auto"/>
          </w:divBdr>
        </w:div>
        <w:div w:id="36">
          <w:marLeft w:val="0"/>
          <w:marRight w:val="0"/>
          <w:marTop w:val="-20"/>
          <w:marBottom w:val="-20"/>
          <w:divBdr>
            <w:top w:val="none" w:sz="0" w:space="0" w:color="auto"/>
            <w:left w:val="none" w:sz="0" w:space="0" w:color="auto"/>
            <w:bottom w:val="none" w:sz="0" w:space="0" w:color="auto"/>
            <w:right w:val="none" w:sz="0" w:space="0" w:color="auto"/>
          </w:divBdr>
        </w:div>
      </w:divsChild>
    </w:div>
    <w:div w:id="37">
      <w:marLeft w:val="0"/>
      <w:marRight w:val="0"/>
      <w:marTop w:val="-20"/>
      <w:marBottom w:val="-20"/>
      <w:divBdr>
        <w:top w:val="none" w:sz="0" w:space="0" w:color="auto"/>
        <w:left w:val="none" w:sz="0" w:space="0" w:color="auto"/>
        <w:bottom w:val="none" w:sz="0" w:space="0" w:color="auto"/>
        <w:right w:val="none" w:sz="0" w:space="0" w:color="auto"/>
      </w:divBdr>
    </w:div>
    <w:div w:id="38">
      <w:marLeft w:val="0"/>
      <w:marRight w:val="0"/>
      <w:marTop w:val="-20"/>
      <w:marBottom w:val="-20"/>
      <w:divBdr>
        <w:top w:val="none" w:sz="0" w:space="0" w:color="auto"/>
        <w:left w:val="none" w:sz="0" w:space="0" w:color="auto"/>
        <w:bottom w:val="none" w:sz="0" w:space="0" w:color="auto"/>
        <w:right w:val="none" w:sz="0" w:space="0" w:color="auto"/>
      </w:divBdr>
    </w:div>
    <w:div w:id="39">
      <w:marLeft w:val="0"/>
      <w:marRight w:val="0"/>
      <w:marTop w:val="-20"/>
      <w:marBottom w:val="-20"/>
      <w:divBdr>
        <w:top w:val="none" w:sz="0" w:space="0" w:color="auto"/>
        <w:left w:val="none" w:sz="0" w:space="0" w:color="auto"/>
        <w:bottom w:val="none" w:sz="0" w:space="0" w:color="auto"/>
        <w:right w:val="none" w:sz="0" w:space="0" w:color="auto"/>
      </w:divBdr>
    </w:div>
    <w:div w:id="40">
      <w:marLeft w:val="0"/>
      <w:marRight w:val="0"/>
      <w:marTop w:val="-20"/>
      <w:marBottom w:val="-20"/>
      <w:divBdr>
        <w:top w:val="none" w:sz="0" w:space="0" w:color="auto"/>
        <w:left w:val="none" w:sz="0" w:space="0" w:color="auto"/>
        <w:bottom w:val="none" w:sz="0" w:space="0" w:color="auto"/>
        <w:right w:val="none" w:sz="0" w:space="0" w:color="auto"/>
      </w:divBdr>
    </w:div>
    <w:div w:id="41">
      <w:marLeft w:val="0"/>
      <w:marRight w:val="0"/>
      <w:marTop w:val="-20"/>
      <w:marBottom w:val="-20"/>
      <w:divBdr>
        <w:top w:val="none" w:sz="0" w:space="0" w:color="auto"/>
        <w:left w:val="none" w:sz="0" w:space="0" w:color="auto"/>
        <w:bottom w:val="none" w:sz="0" w:space="0" w:color="auto"/>
        <w:right w:val="none" w:sz="0" w:space="0" w:color="auto"/>
      </w:divBdr>
    </w:div>
    <w:div w:id="42">
      <w:marLeft w:val="0"/>
      <w:marRight w:val="0"/>
      <w:marTop w:val="-20"/>
      <w:marBottom w:val="-20"/>
      <w:divBdr>
        <w:top w:val="none" w:sz="0" w:space="0" w:color="auto"/>
        <w:left w:val="none" w:sz="0" w:space="0" w:color="auto"/>
        <w:bottom w:val="none" w:sz="0" w:space="0" w:color="auto"/>
        <w:right w:val="none" w:sz="0" w:space="0" w:color="auto"/>
      </w:divBdr>
    </w:div>
    <w:div w:id="43">
      <w:marLeft w:val="0"/>
      <w:marRight w:val="0"/>
      <w:marTop w:val="-20"/>
      <w:marBottom w:val="-20"/>
      <w:divBdr>
        <w:top w:val="none" w:sz="0" w:space="0" w:color="auto"/>
        <w:left w:val="none" w:sz="0" w:space="0" w:color="auto"/>
        <w:bottom w:val="none" w:sz="0" w:space="0" w:color="auto"/>
        <w:right w:val="none" w:sz="0" w:space="0" w:color="auto"/>
      </w:divBdr>
    </w:div>
    <w:div w:id="44">
      <w:marLeft w:val="0"/>
      <w:marRight w:val="0"/>
      <w:marTop w:val="-20"/>
      <w:marBottom w:val="-20"/>
      <w:divBdr>
        <w:top w:val="none" w:sz="0" w:space="0" w:color="auto"/>
        <w:left w:val="none" w:sz="0" w:space="0" w:color="auto"/>
        <w:bottom w:val="none" w:sz="0" w:space="0" w:color="auto"/>
        <w:right w:val="none" w:sz="0" w:space="0" w:color="auto"/>
      </w:divBdr>
    </w:div>
    <w:div w:id="45">
      <w:marLeft w:val="0"/>
      <w:marRight w:val="0"/>
      <w:marTop w:val="-20"/>
      <w:marBottom w:val="-20"/>
      <w:divBdr>
        <w:top w:val="none" w:sz="0" w:space="0" w:color="auto"/>
        <w:left w:val="none" w:sz="0" w:space="0" w:color="auto"/>
        <w:bottom w:val="none" w:sz="0" w:space="0" w:color="auto"/>
        <w:right w:val="none" w:sz="0" w:space="0" w:color="auto"/>
      </w:divBdr>
    </w:div>
    <w:div w:id="46">
      <w:marLeft w:val="0"/>
      <w:marRight w:val="0"/>
      <w:marTop w:val="-20"/>
      <w:marBottom w:val="-20"/>
      <w:divBdr>
        <w:top w:val="none" w:sz="0" w:space="0" w:color="auto"/>
        <w:left w:val="none" w:sz="0" w:space="0" w:color="auto"/>
        <w:bottom w:val="none" w:sz="0" w:space="0" w:color="auto"/>
        <w:right w:val="none" w:sz="0" w:space="0" w:color="auto"/>
      </w:divBdr>
    </w:div>
    <w:div w:id="47">
      <w:marLeft w:val="0"/>
      <w:marRight w:val="0"/>
      <w:marTop w:val="-20"/>
      <w:marBottom w:val="-20"/>
      <w:divBdr>
        <w:top w:val="none" w:sz="0" w:space="0" w:color="auto"/>
        <w:left w:val="none" w:sz="0" w:space="0" w:color="auto"/>
        <w:bottom w:val="none" w:sz="0" w:space="0" w:color="auto"/>
        <w:right w:val="none" w:sz="0" w:space="0" w:color="auto"/>
      </w:divBdr>
    </w:div>
    <w:div w:id="48">
      <w:marLeft w:val="0"/>
      <w:marRight w:val="0"/>
      <w:marTop w:val="-20"/>
      <w:marBottom w:val="-20"/>
      <w:divBdr>
        <w:top w:val="none" w:sz="0" w:space="0" w:color="auto"/>
        <w:left w:val="none" w:sz="0" w:space="0" w:color="auto"/>
        <w:bottom w:val="none" w:sz="0" w:space="0" w:color="auto"/>
        <w:right w:val="none" w:sz="0" w:space="0" w:color="auto"/>
      </w:divBdr>
    </w:div>
    <w:div w:id="49">
      <w:marLeft w:val="0"/>
      <w:marRight w:val="0"/>
      <w:marTop w:val="-20"/>
      <w:marBottom w:val="-20"/>
      <w:divBdr>
        <w:top w:val="none" w:sz="0" w:space="0" w:color="auto"/>
        <w:left w:val="none" w:sz="0" w:space="0" w:color="auto"/>
        <w:bottom w:val="none" w:sz="0" w:space="0" w:color="auto"/>
        <w:right w:val="none" w:sz="0" w:space="0" w:color="auto"/>
      </w:divBdr>
    </w:div>
    <w:div w:id="50">
      <w:marLeft w:val="0"/>
      <w:marRight w:val="0"/>
      <w:marTop w:val="-20"/>
      <w:marBottom w:val="-20"/>
      <w:divBdr>
        <w:top w:val="none" w:sz="0" w:space="0" w:color="auto"/>
        <w:left w:val="none" w:sz="0" w:space="0" w:color="auto"/>
        <w:bottom w:val="none" w:sz="0" w:space="0" w:color="auto"/>
        <w:right w:val="none" w:sz="0" w:space="0" w:color="auto"/>
      </w:divBdr>
    </w:div>
    <w:div w:id="51">
      <w:marLeft w:val="0"/>
      <w:marRight w:val="0"/>
      <w:marTop w:val="-20"/>
      <w:marBottom w:val="-20"/>
      <w:divBdr>
        <w:top w:val="none" w:sz="0" w:space="0" w:color="auto"/>
        <w:left w:val="none" w:sz="0" w:space="0" w:color="auto"/>
        <w:bottom w:val="none" w:sz="0" w:space="0" w:color="auto"/>
        <w:right w:val="none" w:sz="0" w:space="0" w:color="auto"/>
      </w:divBdr>
    </w:div>
    <w:div w:id="52">
      <w:marLeft w:val="0"/>
      <w:marRight w:val="0"/>
      <w:marTop w:val="-20"/>
      <w:marBottom w:val="-20"/>
      <w:divBdr>
        <w:top w:val="none" w:sz="0" w:space="0" w:color="auto"/>
        <w:left w:val="none" w:sz="0" w:space="0" w:color="auto"/>
        <w:bottom w:val="none" w:sz="0" w:space="0" w:color="auto"/>
        <w:right w:val="none" w:sz="0" w:space="0" w:color="auto"/>
      </w:divBdr>
    </w:div>
    <w:div w:id="53">
      <w:marLeft w:val="0"/>
      <w:marRight w:val="0"/>
      <w:marTop w:val="-20"/>
      <w:marBottom w:val="-20"/>
      <w:divBdr>
        <w:top w:val="none" w:sz="0" w:space="0" w:color="auto"/>
        <w:left w:val="none" w:sz="0" w:space="0" w:color="auto"/>
        <w:bottom w:val="none" w:sz="0" w:space="0" w:color="auto"/>
        <w:right w:val="none" w:sz="0" w:space="0" w:color="auto"/>
      </w:divBdr>
    </w:div>
    <w:div w:id="54">
      <w:marLeft w:val="0"/>
      <w:marRight w:val="0"/>
      <w:marTop w:val="-20"/>
      <w:marBottom w:val="-20"/>
      <w:divBdr>
        <w:top w:val="none" w:sz="0" w:space="0" w:color="auto"/>
        <w:left w:val="none" w:sz="0" w:space="0" w:color="auto"/>
        <w:bottom w:val="none" w:sz="0" w:space="0" w:color="auto"/>
        <w:right w:val="none" w:sz="0" w:space="0" w:color="auto"/>
      </w:divBdr>
    </w:div>
    <w:div w:id="55">
      <w:marLeft w:val="0"/>
      <w:marRight w:val="0"/>
      <w:marTop w:val="-20"/>
      <w:marBottom w:val="-20"/>
      <w:divBdr>
        <w:top w:val="none" w:sz="0" w:space="0" w:color="auto"/>
        <w:left w:val="none" w:sz="0" w:space="0" w:color="auto"/>
        <w:bottom w:val="none" w:sz="0" w:space="0" w:color="auto"/>
        <w:right w:val="none" w:sz="0" w:space="0" w:color="auto"/>
      </w:divBdr>
    </w:div>
    <w:div w:id="56">
      <w:marLeft w:val="0"/>
      <w:marRight w:val="0"/>
      <w:marTop w:val="-20"/>
      <w:marBottom w:val="-20"/>
      <w:divBdr>
        <w:top w:val="none" w:sz="0" w:space="0" w:color="auto"/>
        <w:left w:val="none" w:sz="0" w:space="0" w:color="auto"/>
        <w:bottom w:val="none" w:sz="0" w:space="0" w:color="auto"/>
        <w:right w:val="none" w:sz="0" w:space="0" w:color="auto"/>
      </w:divBdr>
    </w:div>
    <w:div w:id="57">
      <w:marLeft w:val="0"/>
      <w:marRight w:val="0"/>
      <w:marTop w:val="-20"/>
      <w:marBottom w:val="-20"/>
      <w:divBdr>
        <w:top w:val="none" w:sz="0" w:space="0" w:color="auto"/>
        <w:left w:val="none" w:sz="0" w:space="0" w:color="auto"/>
        <w:bottom w:val="none" w:sz="0" w:space="0" w:color="auto"/>
        <w:right w:val="none" w:sz="0" w:space="0" w:color="auto"/>
      </w:divBdr>
    </w:div>
    <w:div w:id="58">
      <w:marLeft w:val="0"/>
      <w:marRight w:val="0"/>
      <w:marTop w:val="-20"/>
      <w:marBottom w:val="-20"/>
      <w:divBdr>
        <w:top w:val="none" w:sz="0" w:space="0" w:color="auto"/>
        <w:left w:val="none" w:sz="0" w:space="0" w:color="auto"/>
        <w:bottom w:val="none" w:sz="0" w:space="0" w:color="auto"/>
        <w:right w:val="none" w:sz="0" w:space="0" w:color="auto"/>
      </w:divBdr>
    </w:div>
    <w:div w:id="59">
      <w:marLeft w:val="0"/>
      <w:marRight w:val="0"/>
      <w:marTop w:val="-20"/>
      <w:marBottom w:val="-20"/>
      <w:divBdr>
        <w:top w:val="none" w:sz="0" w:space="0" w:color="auto"/>
        <w:left w:val="none" w:sz="0" w:space="0" w:color="auto"/>
        <w:bottom w:val="none" w:sz="0" w:space="0" w:color="auto"/>
        <w:right w:val="none" w:sz="0" w:space="0" w:color="auto"/>
      </w:divBdr>
    </w:div>
    <w:div w:id="60">
      <w:marLeft w:val="0"/>
      <w:marRight w:val="0"/>
      <w:marTop w:val="-20"/>
      <w:marBottom w:val="-20"/>
      <w:divBdr>
        <w:top w:val="none" w:sz="0" w:space="0" w:color="auto"/>
        <w:left w:val="none" w:sz="0" w:space="0" w:color="auto"/>
        <w:bottom w:val="none" w:sz="0" w:space="0" w:color="auto"/>
        <w:right w:val="none" w:sz="0" w:space="0" w:color="auto"/>
      </w:divBdr>
    </w:div>
    <w:div w:id="61">
      <w:marLeft w:val="0"/>
      <w:marRight w:val="0"/>
      <w:marTop w:val="-20"/>
      <w:marBottom w:val="-20"/>
      <w:divBdr>
        <w:top w:val="none" w:sz="0" w:space="0" w:color="auto"/>
        <w:left w:val="none" w:sz="0" w:space="0" w:color="auto"/>
        <w:bottom w:val="none" w:sz="0" w:space="0" w:color="auto"/>
        <w:right w:val="none" w:sz="0" w:space="0" w:color="auto"/>
      </w:divBdr>
    </w:div>
    <w:div w:id="62">
      <w:marLeft w:val="0"/>
      <w:marRight w:val="0"/>
      <w:marTop w:val="-20"/>
      <w:marBottom w:val="-20"/>
      <w:divBdr>
        <w:top w:val="none" w:sz="0" w:space="0" w:color="auto"/>
        <w:left w:val="none" w:sz="0" w:space="0" w:color="auto"/>
        <w:bottom w:val="none" w:sz="0" w:space="0" w:color="auto"/>
        <w:right w:val="none" w:sz="0" w:space="0" w:color="auto"/>
      </w:divBdr>
    </w:div>
    <w:div w:id="63">
      <w:marLeft w:val="0"/>
      <w:marRight w:val="0"/>
      <w:marTop w:val="-20"/>
      <w:marBottom w:val="-20"/>
      <w:divBdr>
        <w:top w:val="none" w:sz="0" w:space="0" w:color="auto"/>
        <w:left w:val="none" w:sz="0" w:space="0" w:color="auto"/>
        <w:bottom w:val="none" w:sz="0" w:space="0" w:color="auto"/>
        <w:right w:val="none" w:sz="0" w:space="0" w:color="auto"/>
      </w:divBdr>
    </w:div>
    <w:div w:id="64">
      <w:marLeft w:val="0"/>
      <w:marRight w:val="0"/>
      <w:marTop w:val="-20"/>
      <w:marBottom w:val="-20"/>
      <w:divBdr>
        <w:top w:val="none" w:sz="0" w:space="0" w:color="auto"/>
        <w:left w:val="none" w:sz="0" w:space="0" w:color="auto"/>
        <w:bottom w:val="none" w:sz="0" w:space="0" w:color="auto"/>
        <w:right w:val="none" w:sz="0" w:space="0" w:color="auto"/>
      </w:divBdr>
    </w:div>
    <w:div w:id="65">
      <w:marLeft w:val="0"/>
      <w:marRight w:val="0"/>
      <w:marTop w:val="-20"/>
      <w:marBottom w:val="-20"/>
      <w:divBdr>
        <w:top w:val="none" w:sz="0" w:space="0" w:color="auto"/>
        <w:left w:val="none" w:sz="0" w:space="0" w:color="auto"/>
        <w:bottom w:val="none" w:sz="0" w:space="0" w:color="auto"/>
        <w:right w:val="none" w:sz="0" w:space="0" w:color="auto"/>
      </w:divBdr>
    </w:div>
    <w:div w:id="66">
      <w:marLeft w:val="0"/>
      <w:marRight w:val="0"/>
      <w:marTop w:val="-20"/>
      <w:marBottom w:val="-20"/>
      <w:divBdr>
        <w:top w:val="none" w:sz="0" w:space="0" w:color="auto"/>
        <w:left w:val="none" w:sz="0" w:space="0" w:color="auto"/>
        <w:bottom w:val="none" w:sz="0" w:space="0" w:color="auto"/>
        <w:right w:val="none" w:sz="0" w:space="0" w:color="auto"/>
      </w:divBdr>
    </w:div>
    <w:div w:id="67">
      <w:marLeft w:val="0"/>
      <w:marRight w:val="0"/>
      <w:marTop w:val="-20"/>
      <w:marBottom w:val="-20"/>
      <w:divBdr>
        <w:top w:val="none" w:sz="0" w:space="0" w:color="auto"/>
        <w:left w:val="none" w:sz="0" w:space="0" w:color="auto"/>
        <w:bottom w:val="none" w:sz="0" w:space="0" w:color="auto"/>
        <w:right w:val="none" w:sz="0" w:space="0" w:color="auto"/>
      </w:divBdr>
    </w:div>
    <w:div w:id="68">
      <w:marLeft w:val="0"/>
      <w:marRight w:val="0"/>
      <w:marTop w:val="-20"/>
      <w:marBottom w:val="-20"/>
      <w:divBdr>
        <w:top w:val="none" w:sz="0" w:space="0" w:color="auto"/>
        <w:left w:val="none" w:sz="0" w:space="0" w:color="auto"/>
        <w:bottom w:val="none" w:sz="0" w:space="0" w:color="auto"/>
        <w:right w:val="none" w:sz="0" w:space="0" w:color="auto"/>
      </w:divBdr>
    </w:div>
    <w:div w:id="69">
      <w:marLeft w:val="0"/>
      <w:marRight w:val="0"/>
      <w:marTop w:val="-20"/>
      <w:marBottom w:val="-20"/>
      <w:divBdr>
        <w:top w:val="none" w:sz="0" w:space="0" w:color="auto"/>
        <w:left w:val="none" w:sz="0" w:space="0" w:color="auto"/>
        <w:bottom w:val="none" w:sz="0" w:space="0" w:color="auto"/>
        <w:right w:val="none" w:sz="0" w:space="0" w:color="auto"/>
      </w:divBdr>
    </w:div>
    <w:div w:id="70">
      <w:marLeft w:val="0"/>
      <w:marRight w:val="0"/>
      <w:marTop w:val="-20"/>
      <w:marBottom w:val="-20"/>
      <w:divBdr>
        <w:top w:val="none" w:sz="0" w:space="0" w:color="auto"/>
        <w:left w:val="none" w:sz="0" w:space="0" w:color="auto"/>
        <w:bottom w:val="none" w:sz="0" w:space="0" w:color="auto"/>
        <w:right w:val="none" w:sz="0" w:space="0" w:color="auto"/>
      </w:divBdr>
    </w:div>
    <w:div w:id="71">
      <w:marLeft w:val="0"/>
      <w:marRight w:val="0"/>
      <w:marTop w:val="-20"/>
      <w:marBottom w:val="-20"/>
      <w:divBdr>
        <w:top w:val="none" w:sz="0" w:space="0" w:color="auto"/>
        <w:left w:val="none" w:sz="0" w:space="0" w:color="auto"/>
        <w:bottom w:val="none" w:sz="0" w:space="0" w:color="auto"/>
        <w:right w:val="none" w:sz="0" w:space="0" w:color="auto"/>
      </w:divBdr>
    </w:div>
    <w:div w:id="72">
      <w:marLeft w:val="0"/>
      <w:marRight w:val="0"/>
      <w:marTop w:val="-20"/>
      <w:marBottom w:val="-20"/>
      <w:divBdr>
        <w:top w:val="none" w:sz="0" w:space="0" w:color="auto"/>
        <w:left w:val="none" w:sz="0" w:space="0" w:color="auto"/>
        <w:bottom w:val="none" w:sz="0" w:space="0" w:color="auto"/>
        <w:right w:val="none" w:sz="0" w:space="0" w:color="auto"/>
      </w:divBdr>
    </w:div>
    <w:div w:id="73">
      <w:marLeft w:val="0"/>
      <w:marRight w:val="0"/>
      <w:marTop w:val="-20"/>
      <w:marBottom w:val="-20"/>
      <w:divBdr>
        <w:top w:val="none" w:sz="0" w:space="0" w:color="auto"/>
        <w:left w:val="none" w:sz="0" w:space="0" w:color="auto"/>
        <w:bottom w:val="none" w:sz="0" w:space="0" w:color="auto"/>
        <w:right w:val="none" w:sz="0" w:space="0" w:color="auto"/>
      </w:divBdr>
    </w:div>
    <w:div w:id="74">
      <w:marLeft w:val="0"/>
      <w:marRight w:val="0"/>
      <w:marTop w:val="-20"/>
      <w:marBottom w:val="-20"/>
      <w:divBdr>
        <w:top w:val="none" w:sz="0" w:space="0" w:color="auto"/>
        <w:left w:val="none" w:sz="0" w:space="0" w:color="auto"/>
        <w:bottom w:val="none" w:sz="0" w:space="0" w:color="auto"/>
        <w:right w:val="none" w:sz="0" w:space="0" w:color="auto"/>
      </w:divBdr>
    </w:div>
    <w:div w:id="75">
      <w:marLeft w:val="0"/>
      <w:marRight w:val="0"/>
      <w:marTop w:val="-20"/>
      <w:marBottom w:val="-20"/>
      <w:divBdr>
        <w:top w:val="none" w:sz="0" w:space="0" w:color="auto"/>
        <w:left w:val="none" w:sz="0" w:space="0" w:color="auto"/>
        <w:bottom w:val="none" w:sz="0" w:space="0" w:color="auto"/>
        <w:right w:val="none" w:sz="0" w:space="0" w:color="auto"/>
      </w:divBdr>
    </w:div>
    <w:div w:id="76">
      <w:marLeft w:val="0"/>
      <w:marRight w:val="0"/>
      <w:marTop w:val="-20"/>
      <w:marBottom w:val="-20"/>
      <w:divBdr>
        <w:top w:val="none" w:sz="0" w:space="0" w:color="auto"/>
        <w:left w:val="none" w:sz="0" w:space="0" w:color="auto"/>
        <w:bottom w:val="none" w:sz="0" w:space="0" w:color="auto"/>
        <w:right w:val="none" w:sz="0" w:space="0" w:color="auto"/>
      </w:divBdr>
    </w:div>
    <w:div w:id="77">
      <w:marLeft w:val="0"/>
      <w:marRight w:val="0"/>
      <w:marTop w:val="-20"/>
      <w:marBottom w:val="-20"/>
      <w:divBdr>
        <w:top w:val="none" w:sz="0" w:space="0" w:color="auto"/>
        <w:left w:val="none" w:sz="0" w:space="0" w:color="auto"/>
        <w:bottom w:val="none" w:sz="0" w:space="0" w:color="auto"/>
        <w:right w:val="none" w:sz="0" w:space="0" w:color="auto"/>
      </w:divBdr>
    </w:div>
    <w:div w:id="78">
      <w:marLeft w:val="0"/>
      <w:marRight w:val="0"/>
      <w:marTop w:val="-20"/>
      <w:marBottom w:val="-20"/>
      <w:divBdr>
        <w:top w:val="none" w:sz="0" w:space="0" w:color="auto"/>
        <w:left w:val="none" w:sz="0" w:space="0" w:color="auto"/>
        <w:bottom w:val="none" w:sz="0" w:space="0" w:color="auto"/>
        <w:right w:val="none" w:sz="0" w:space="0" w:color="auto"/>
      </w:divBdr>
    </w:div>
    <w:div w:id="79">
      <w:marLeft w:val="0"/>
      <w:marRight w:val="0"/>
      <w:marTop w:val="-20"/>
      <w:marBottom w:val="-20"/>
      <w:divBdr>
        <w:top w:val="none" w:sz="0" w:space="0" w:color="auto"/>
        <w:left w:val="none" w:sz="0" w:space="0" w:color="auto"/>
        <w:bottom w:val="none" w:sz="0" w:space="0" w:color="auto"/>
        <w:right w:val="none" w:sz="0" w:space="0" w:color="auto"/>
      </w:divBdr>
    </w:div>
    <w:div w:id="80">
      <w:marLeft w:val="0"/>
      <w:marRight w:val="0"/>
      <w:marTop w:val="-20"/>
      <w:marBottom w:val="-20"/>
      <w:divBdr>
        <w:top w:val="none" w:sz="0" w:space="0" w:color="auto"/>
        <w:left w:val="none" w:sz="0" w:space="0" w:color="auto"/>
        <w:bottom w:val="none" w:sz="0" w:space="0" w:color="auto"/>
        <w:right w:val="none" w:sz="0" w:space="0" w:color="auto"/>
      </w:divBdr>
    </w:div>
    <w:div w:id="81">
      <w:marLeft w:val="0"/>
      <w:marRight w:val="0"/>
      <w:marTop w:val="-20"/>
      <w:marBottom w:val="-20"/>
      <w:divBdr>
        <w:top w:val="none" w:sz="0" w:space="0" w:color="auto"/>
        <w:left w:val="none" w:sz="0" w:space="0" w:color="auto"/>
        <w:bottom w:val="none" w:sz="0" w:space="0" w:color="auto"/>
        <w:right w:val="none" w:sz="0" w:space="0" w:color="auto"/>
      </w:divBdr>
    </w:div>
    <w:div w:id="82">
      <w:marLeft w:val="0"/>
      <w:marRight w:val="0"/>
      <w:marTop w:val="-20"/>
      <w:marBottom w:val="-20"/>
      <w:divBdr>
        <w:top w:val="none" w:sz="0" w:space="0" w:color="auto"/>
        <w:left w:val="none" w:sz="0" w:space="0" w:color="auto"/>
        <w:bottom w:val="none" w:sz="0" w:space="0" w:color="auto"/>
        <w:right w:val="none" w:sz="0" w:space="0" w:color="auto"/>
      </w:divBdr>
    </w:div>
    <w:div w:id="83">
      <w:marLeft w:val="0"/>
      <w:marRight w:val="0"/>
      <w:marTop w:val="-20"/>
      <w:marBottom w:val="-20"/>
      <w:divBdr>
        <w:top w:val="none" w:sz="0" w:space="0" w:color="auto"/>
        <w:left w:val="none" w:sz="0" w:space="0" w:color="auto"/>
        <w:bottom w:val="none" w:sz="0" w:space="0" w:color="auto"/>
        <w:right w:val="none" w:sz="0" w:space="0" w:color="auto"/>
      </w:divBdr>
    </w:div>
    <w:div w:id="84">
      <w:marLeft w:val="0"/>
      <w:marRight w:val="0"/>
      <w:marTop w:val="-20"/>
      <w:marBottom w:val="-20"/>
      <w:divBdr>
        <w:top w:val="none" w:sz="0" w:space="0" w:color="auto"/>
        <w:left w:val="none" w:sz="0" w:space="0" w:color="auto"/>
        <w:bottom w:val="none" w:sz="0" w:space="0" w:color="auto"/>
        <w:right w:val="none" w:sz="0" w:space="0" w:color="auto"/>
      </w:divBdr>
    </w:div>
    <w:div w:id="85">
      <w:marLeft w:val="0"/>
      <w:marRight w:val="0"/>
      <w:marTop w:val="-20"/>
      <w:marBottom w:val="-20"/>
      <w:divBdr>
        <w:top w:val="none" w:sz="0" w:space="0" w:color="auto"/>
        <w:left w:val="none" w:sz="0" w:space="0" w:color="auto"/>
        <w:bottom w:val="none" w:sz="0" w:space="0" w:color="auto"/>
        <w:right w:val="none" w:sz="0" w:space="0" w:color="auto"/>
      </w:divBdr>
    </w:div>
    <w:div w:id="86">
      <w:marLeft w:val="0"/>
      <w:marRight w:val="0"/>
      <w:marTop w:val="-20"/>
      <w:marBottom w:val="-20"/>
      <w:divBdr>
        <w:top w:val="none" w:sz="0" w:space="0" w:color="auto"/>
        <w:left w:val="none" w:sz="0" w:space="0" w:color="auto"/>
        <w:bottom w:val="none" w:sz="0" w:space="0" w:color="auto"/>
        <w:right w:val="none" w:sz="0" w:space="0" w:color="auto"/>
      </w:divBdr>
    </w:div>
    <w:div w:id="87">
      <w:marLeft w:val="0"/>
      <w:marRight w:val="0"/>
      <w:marTop w:val="-20"/>
      <w:marBottom w:val="-20"/>
      <w:divBdr>
        <w:top w:val="none" w:sz="0" w:space="0" w:color="auto"/>
        <w:left w:val="none" w:sz="0" w:space="0" w:color="auto"/>
        <w:bottom w:val="none" w:sz="0" w:space="0" w:color="auto"/>
        <w:right w:val="none" w:sz="0" w:space="0" w:color="auto"/>
      </w:divBdr>
    </w:div>
    <w:div w:id="88">
      <w:marLeft w:val="0"/>
      <w:marRight w:val="0"/>
      <w:marTop w:val="-20"/>
      <w:marBottom w:val="-20"/>
      <w:divBdr>
        <w:top w:val="none" w:sz="0" w:space="0" w:color="auto"/>
        <w:left w:val="none" w:sz="0" w:space="0" w:color="auto"/>
        <w:bottom w:val="none" w:sz="0" w:space="0" w:color="auto"/>
        <w:right w:val="none" w:sz="0" w:space="0" w:color="auto"/>
      </w:divBdr>
    </w:div>
    <w:div w:id="89">
      <w:marLeft w:val="0"/>
      <w:marRight w:val="0"/>
      <w:marTop w:val="-20"/>
      <w:marBottom w:val="-20"/>
      <w:divBdr>
        <w:top w:val="none" w:sz="0" w:space="0" w:color="auto"/>
        <w:left w:val="none" w:sz="0" w:space="0" w:color="auto"/>
        <w:bottom w:val="none" w:sz="0" w:space="0" w:color="auto"/>
        <w:right w:val="none" w:sz="0" w:space="0" w:color="auto"/>
      </w:divBdr>
    </w:div>
    <w:div w:id="90">
      <w:marLeft w:val="0"/>
      <w:marRight w:val="0"/>
      <w:marTop w:val="-20"/>
      <w:marBottom w:val="-20"/>
      <w:divBdr>
        <w:top w:val="none" w:sz="0" w:space="0" w:color="auto"/>
        <w:left w:val="none" w:sz="0" w:space="0" w:color="auto"/>
        <w:bottom w:val="none" w:sz="0" w:space="0" w:color="auto"/>
        <w:right w:val="none" w:sz="0" w:space="0" w:color="auto"/>
      </w:divBdr>
    </w:div>
    <w:div w:id="91">
      <w:marLeft w:val="0"/>
      <w:marRight w:val="0"/>
      <w:marTop w:val="-20"/>
      <w:marBottom w:val="-20"/>
      <w:divBdr>
        <w:top w:val="none" w:sz="0" w:space="0" w:color="auto"/>
        <w:left w:val="none" w:sz="0" w:space="0" w:color="auto"/>
        <w:bottom w:val="none" w:sz="0" w:space="0" w:color="auto"/>
        <w:right w:val="none" w:sz="0" w:space="0" w:color="auto"/>
      </w:divBdr>
    </w:div>
    <w:div w:id="92">
      <w:marLeft w:val="0"/>
      <w:marRight w:val="0"/>
      <w:marTop w:val="-20"/>
      <w:marBottom w:val="-20"/>
      <w:divBdr>
        <w:top w:val="none" w:sz="0" w:space="0" w:color="auto"/>
        <w:left w:val="none" w:sz="0" w:space="0" w:color="auto"/>
        <w:bottom w:val="none" w:sz="0" w:space="0" w:color="auto"/>
        <w:right w:val="none" w:sz="0" w:space="0" w:color="auto"/>
      </w:divBdr>
    </w:div>
    <w:div w:id="93">
      <w:marLeft w:val="0"/>
      <w:marRight w:val="0"/>
      <w:marTop w:val="-20"/>
      <w:marBottom w:val="-20"/>
      <w:divBdr>
        <w:top w:val="none" w:sz="0" w:space="0" w:color="auto"/>
        <w:left w:val="none" w:sz="0" w:space="0" w:color="auto"/>
        <w:bottom w:val="none" w:sz="0" w:space="0" w:color="auto"/>
        <w:right w:val="none" w:sz="0" w:space="0" w:color="auto"/>
      </w:divBdr>
    </w:div>
    <w:div w:id="94">
      <w:marLeft w:val="0"/>
      <w:marRight w:val="0"/>
      <w:marTop w:val="-20"/>
      <w:marBottom w:val="-20"/>
      <w:divBdr>
        <w:top w:val="none" w:sz="0" w:space="0" w:color="auto"/>
        <w:left w:val="none" w:sz="0" w:space="0" w:color="auto"/>
        <w:bottom w:val="none" w:sz="0" w:space="0" w:color="auto"/>
        <w:right w:val="none" w:sz="0" w:space="0" w:color="auto"/>
      </w:divBdr>
    </w:div>
    <w:div w:id="95">
      <w:marLeft w:val="0"/>
      <w:marRight w:val="0"/>
      <w:marTop w:val="-20"/>
      <w:marBottom w:val="-20"/>
      <w:divBdr>
        <w:top w:val="none" w:sz="0" w:space="0" w:color="auto"/>
        <w:left w:val="none" w:sz="0" w:space="0" w:color="auto"/>
        <w:bottom w:val="none" w:sz="0" w:space="0" w:color="auto"/>
        <w:right w:val="none" w:sz="0" w:space="0" w:color="auto"/>
      </w:divBdr>
    </w:div>
    <w:div w:id="96">
      <w:marLeft w:val="0"/>
      <w:marRight w:val="0"/>
      <w:marTop w:val="-20"/>
      <w:marBottom w:val="-20"/>
      <w:divBdr>
        <w:top w:val="none" w:sz="0" w:space="0" w:color="auto"/>
        <w:left w:val="none" w:sz="0" w:space="0" w:color="auto"/>
        <w:bottom w:val="none" w:sz="0" w:space="0" w:color="auto"/>
        <w:right w:val="none" w:sz="0" w:space="0" w:color="auto"/>
      </w:divBdr>
    </w:div>
    <w:div w:id="9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36-2012-nd-cp-chuc-nang--nhiem-vu--quyen-han-bo--co-quan-ngang-bo.aspx" TargetMode="External" /><Relationship Id="rId4" Type="http://schemas.openxmlformats.org/officeDocument/2006/relationships/hyperlink" Target="/nghi-dinh-so-32-2008-nd-cp-cua-chinh-phu---quy-dinh-chuc-nang--nhiem-vu--quyen-han-va-co-cau-to-chuc-cua-bo-giao-duc-va-dao-tao.aspx" TargetMode="External" /><Relationship Id="rId5" Type="http://schemas.openxmlformats.org/officeDocument/2006/relationships/hyperlink" Target="/thong-tu-so-01-2014-tt-bgddt-cua-bo-giao-duc-va-dao-tao---ban-hanh-khung-nang-luc-ngoai-ngu-6-bac-dung-cho-viet-nam.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2022-06-22T09:43:53Z</dcterms:created>
  <dcterms:modified xsi:type="dcterms:W3CDTF">2022-06-22T09:43:53Z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2022-06-22T09:43:53Z</dcterms:created>
  <dcterms:modified xsi:type="dcterms:W3CDTF">2022-06-22T09:43:53Z</dcterms:modified>
</cp:coreProperties>
</file>