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tbl>
      <w:tblPr>
        <w:tblStyle w:val="TableNormal"/>
        <w:tblW w:w="0" w:type="auto"/>
        <w:jc w:val="lef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600" w:firstRow="0" w:lastRow="0" w:firstColumn="0" w:lastColumn="0" w:noHBand="1" w:noVBand="1"/>
      </w:tblPr>
      <w:tblGrid/>
      <w:tr>
        <w:trPr>
          <w:jc w:val="left"/>
        </w:trPr>
        <w:tc>
          <w:tcPr>
            <w:tcW w:w="0" w:type="auto"/>
            <w:shd w:val="clear" w:color="auto" w:fill="auto"/>
            <w:vAlign w:val="center"/>
          </w:tcPr>
          <w:p>
            <w:pPr>
              <w:pStyle w:val="Normal(Web)"/>
              <w:rPr>
                <w:vanish w:val="0"/>
              </w:rPr>
            </w:pPr>
            <w:r>
              <w:rPr>
                <w:b/>
              </w:rPr>
              <w:t xml:space="preserve">ỦY BAN NHÂN DÂN</w:t>
            </w:r>
            <w:r>
              <w:rPr>
                <w:b/>
              </w:rPr>
              <w:br/>
            </w:r>
            <w:r>
              <w:rPr>
                <w:b/>
              </w:rPr>
              <w:t xml:space="preserve">THÀNH PHỐ HÀ NỘI------- </w:t>
            </w:r>
          </w:p>
        </w:tc>
        <w:tc>
          <w:tcPr>
            <w:tcW w:w="0" w:type="auto"/>
            <w:shd w:val="clear" w:color="auto" w:fill="auto"/>
            <w:vAlign w:val="center"/>
          </w:tcPr>
          <w:p>
            <w:pPr>
              <w:pStyle w:val="Normal(Web)"/>
              <w:rPr>
                <w:vanish w:val="0"/>
              </w:rPr>
            </w:pPr>
            <w:r>
              <w:rPr>
                <w:b/>
              </w:rPr>
              <w:t xml:space="preserve">CỘNG HÒA XÃ HỘI CHỦ NGHĨA VIỆT NAM</w:t>
            </w:r>
            <w:r>
              <w:rPr>
                <w:b/>
              </w:rPr>
              <w:br/>
            </w:r>
            <w:r>
              <w:rPr>
                <w:b/>
              </w:rPr>
              <w:t xml:space="preserve">Độc lập - Tự do - Hạnh phúc --------------- </w:t>
            </w:r>
          </w:p>
        </w:tc>
      </w:tr>
      <w:tr>
        <w:trPr>
          <w:jc w:val="left"/>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Số: 4180/QĐ-UBND </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i/>
              </w:rPr>
              <w:t xml:space="preserve">Hà Nội, ngày 21 tháng 8 năm 2015 </w:t>
            </w:r>
          </w:p>
        </w:tc>
      </w:tr>
    </w:tbl>
    <w:p>
      <w:pPr>
        <w:pStyle w:val="Normal(Web)"/>
        <w:divId w:val="3"/>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QUYẾT ĐỊNH</w:t>
      </w:r>
    </w:p>
    <w:p>
      <w:pPr>
        <w:pStyle w:val="Normal(Web)"/>
        <w:divId w:val="3"/>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VỀ VIỆC PHÊ DUYỆT QUY HOẠCH CHI TIẾT KHU CHỨC NĂNG ĐÔ THỊ TÂY NAM ĐƯỜNG70, TỶ LỆ 1/500</w:t>
      </w:r>
      <w:r>
        <w:rPr/>
        <w:br/>
      </w:r>
      <w:r>
        <w:t xml:space="preserve">Địa điểm: Phường Đại Mỗ, quận Nam Từ Liêm, thành phố Hà Nội.</w:t>
      </w:r>
    </w:p>
    <w:p>
      <w:pPr>
        <w:pStyle w:val="Normal(Web)"/>
        <w:divId w:val="3"/>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ỦY BAN NHÂN DÂN THÀNH PHỐ HÀ NỘI</w:t>
      </w:r>
    </w:p>
    <w:p>
      <w:pPr>
        <w:pStyle w:val="Normal(Web)"/>
        <w:divId w:val="3"/>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i/>
        </w:rPr>
        <w:t xml:space="preserve">Căn cứ Luật Tổ chức HĐND và UBNDsố </w:t>
      </w:r>
      <w:hyperlink r:id="rId3" w:history="1">
        <w:r>
          <w:rPr>
            <w:rStyle w:val="Hyperlink"/>
            <w:i/>
          </w:rPr>
          <w:t xml:space="preserve">11/2003/QH11 </w:t>
        </w:r>
      </w:hyperlink>
      <w:r>
        <w:rPr>
          <w:i/>
        </w:rPr>
        <w:t xml:space="preserve"> ;</w:t>
      </w:r>
    </w:p>
    <w:p>
      <w:pPr>
        <w:pStyle w:val="Normal(Web)"/>
        <w:divId w:val="3"/>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i/>
        </w:rPr>
        <w:t xml:space="preserve">Căn cứ Luật Quy hoạch đô thị số 30/2009/QH12 ;</w:t>
      </w:r>
    </w:p>
    <w:p>
      <w:pPr>
        <w:pStyle w:val="Normal(Web)"/>
        <w:divId w:val="3"/>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i/>
        </w:rPr>
        <w:t xml:space="preserve">Căn cứ Luật Thủ đô số </w:t>
      </w:r>
      <w:hyperlink r:id="rId4" w:history="1">
        <w:r>
          <w:rPr>
            <w:rStyle w:val="Hyperlink"/>
            <w:i/>
          </w:rPr>
          <w:t xml:space="preserve">25/2012/QH13 </w:t>
        </w:r>
      </w:hyperlink>
      <w:r>
        <w:rPr>
          <w:i/>
        </w:rPr>
        <w:t xml:space="preserve"> ;</w:t>
      </w:r>
    </w:p>
    <w:p>
      <w:pPr>
        <w:pStyle w:val="Normal(Web)"/>
        <w:divId w:val="3"/>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i/>
        </w:rPr>
        <w:t xml:space="preserve">Căn cứ Luật Nhà ở số </w:t>
      </w:r>
      <w:hyperlink r:id="rId5" w:history="1">
        <w:r>
          <w:rPr>
            <w:rStyle w:val="Hyperlink"/>
            <w:i/>
          </w:rPr>
          <w:t xml:space="preserve">65/2014/QH13 </w:t>
        </w:r>
      </w:hyperlink>
      <w:r>
        <w:rPr>
          <w:i/>
        </w:rPr>
        <w:t xml:space="preserve"> ;</w:t>
      </w:r>
    </w:p>
    <w:p>
      <w:pPr>
        <w:pStyle w:val="Normal(Web)"/>
        <w:divId w:val="3"/>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i/>
        </w:rPr>
        <w:t xml:space="preserve">Căn cứ Nghị định số 37/2010/NĐ-CPngày 07/4/2010 của Chính phủ về Lập, thẩm định, phê duyệt và quản lý quy hoạchđô thị;</w:t>
      </w:r>
    </w:p>
    <w:p>
      <w:pPr>
        <w:pStyle w:val="Normal(Web)"/>
        <w:divId w:val="3"/>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i/>
        </w:rPr>
        <w:t xml:space="preserve">Căn cứ Nghị định số 38/2010/NĐ-CPngày 07/4/2010 của Chính phủ về Quản lý không gian, kiến trúc, cảnh quan đô thị;</w:t>
      </w:r>
    </w:p>
    <w:p>
      <w:pPr>
        <w:pStyle w:val="Normal(Web)"/>
        <w:divId w:val="3"/>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i/>
        </w:rPr>
        <w:t xml:space="preserve">Căn cứ Nghị định số 39/2010/NĐ-CPngày 07/4/2010 của Chính phủ về Quản lý không gian xây dựng ngầm đô thị;</w:t>
      </w:r>
    </w:p>
    <w:p>
      <w:pPr>
        <w:pStyle w:val="Normal(Web)"/>
        <w:divId w:val="3"/>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i/>
        </w:rPr>
        <w:t xml:space="preserve">Căn cứ Nghị định số 188/2013/NĐ-CPngày 20/11/2013 của Chính phủ về Phát triển và quản lý nhà ở xã hội;</w:t>
      </w:r>
    </w:p>
    <w:p>
      <w:pPr>
        <w:pStyle w:val="Normal(Web)"/>
        <w:divId w:val="3"/>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i/>
        </w:rPr>
        <w:t xml:space="preserve">Căn cứ Quyết định số 1259/QĐ-TTgngày 26/7/2011 của Thủ tướng Chính phủ phê duyệt Quy hoạch chung xây dựng Thủđô Hà Nội đến năm 2030 và tầm nhìn đến năm 2050;</w:t>
      </w:r>
    </w:p>
    <w:p>
      <w:pPr>
        <w:pStyle w:val="Normal(Web)"/>
        <w:divId w:val="3"/>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i/>
        </w:rPr>
        <w:t xml:space="preserve">Căn cứ Thông tư số 10/2010/TT-BXDngày 11/8/2010 của Bộ Xây dựng về việc Quy định hồ sơ của từng loại quy hoạchđô thị;</w:t>
      </w:r>
    </w:p>
    <w:p>
      <w:pPr>
        <w:pStyle w:val="Normal(Web)"/>
        <w:divId w:val="3"/>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i/>
        </w:rPr>
        <w:t xml:space="preserve">Căn cứ Thông tư số 01/2011/TT-BXDngày 27/01/2011 của Bộ Xây dựng về việc Hướng dẫn đánh giá môi trường chiếnlược trong đồ án quy hoạch xây dựng, quy hoạch đô thị;</w:t>
      </w:r>
    </w:p>
    <w:p>
      <w:pPr>
        <w:pStyle w:val="Normal(Web)"/>
        <w:divId w:val="3"/>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i/>
        </w:rPr>
        <w:t xml:space="preserve">Căn cứ Thông tư số </w:t>
      </w:r>
      <w:hyperlink r:id="rId6" w:history="1">
        <w:r>
          <w:rPr>
            <w:rStyle w:val="Hyperlink"/>
            <w:i/>
          </w:rPr>
          <w:t xml:space="preserve">06/2013/TT-BXD </w:t>
        </w:r>
      </w:hyperlink>
      <w:r>
        <w:rPr>
          <w:i/>
        </w:rPr>
        <w:t xml:space="preserve"> ngày 13/5/2013 của Bộ Xây dựng hướng dẫn về nội dung thiết kế đôthị; Thông tư số 16/2013/TT-BXD ngày 16/10/2013 của Bộ Xây dựng sửa đổi, bổsung một số điều của Thông tư số 06/2013/TT-BXD ngày 13/5/2013 của Bộ Xây dựnghướng dẫn về nội dung Thiết kế đô thị;</w:t>
      </w:r>
    </w:p>
    <w:p>
      <w:pPr>
        <w:pStyle w:val="Normal(Web)"/>
        <w:divId w:val="3"/>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i/>
        </w:rPr>
        <w:t xml:space="preserve">Căn cứ Thông tư số 08/2014/TT-BXDngày 23/5/2014 của Bộ Xây dựng về việc Hướng dẫn thực hiện một số nội dung củaNghị định số 188/2013/NĐ-CP ngày 20/11/2013 của Chính phủ về phát triển và quảnlý nhà ở xã hội;</w:t>
      </w:r>
    </w:p>
    <w:p>
      <w:pPr>
        <w:pStyle w:val="Normal(Web)"/>
        <w:divId w:val="3"/>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i/>
        </w:rPr>
        <w:t xml:space="preserve">Căn cứ Quyết định số 72/2014/QĐ-UBND ngày 17/9/2014 của UBND thành phố Hà Nội Ban hành quy định vềlập, thẩm định, phê duyệt nhiệm vụ, đồ án và quản lý theo đồ án quy hoạch đôthị trên địa bàn thành phố Hà Nội;</w:t>
      </w:r>
    </w:p>
    <w:p>
      <w:pPr>
        <w:pStyle w:val="Normal(Web)"/>
        <w:divId w:val="3"/>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i/>
        </w:rPr>
        <w:t xml:space="preserve">Căn cứ Quyết định số 4324/QĐ-UBNDngày 16/7/2013 của UBND thành phố Hà Nội về việc phê duyệt Quy hoạch phân khuđô thị S4, tỷ lệ 1/5.000;</w:t>
      </w:r>
    </w:p>
    <w:p>
      <w:pPr>
        <w:pStyle w:val="Normal(Web)"/>
        <w:divId w:val="3"/>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i/>
        </w:rPr>
        <w:t xml:space="preserve">Căn cứ Quyết định số 750/QĐ-UBNDngày 11/02/2015 của UBND thành phố Hà Nội về việc phê duyệt Nhiệm vụ quy hoạchchi tiết Khu chức năng đô thị Tây Nam đường 70, tỷ lệ 1/500 tại phường Đại Mỗ,quận Nam Từ Liêm, thành phố Hà Nội;</w:t>
      </w:r>
    </w:p>
    <w:p>
      <w:pPr>
        <w:pStyle w:val="Normal(Web)"/>
        <w:divId w:val="3"/>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Xét đề nghị của Giám đốc Sở Quy hoạch- Kiến trúc Hà Nội tại Tờ trình số 1090/TTr-QHKT-P4 -P7 ngày 20/3/2015,</w:t>
      </w:r>
    </w:p>
    <w:p>
      <w:pPr>
        <w:pStyle w:val="Normal(Web)"/>
        <w:divId w:val="3"/>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QUYẾT ĐỊNH:</w:t>
      </w:r>
    </w:p>
    <w:p>
      <w:pPr>
        <w:pStyle w:val="Normal(Web)"/>
        <w:divId w:val="3"/>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Điều 1:</w:t>
      </w:r>
      <w:r>
        <w:t xml:space="preserve"> Phê duyệt Quy hoạch chi tiết Khu chức năng đôthị Tây Nam đường 70, tỷ lệ 1/500 tại phường Đại Mỗ, quận Nam Từ Liêm, thànhphố Hà Nội với những nội dung chính như sau:</w:t>
      </w:r>
    </w:p>
    <w:p>
      <w:pPr>
        <w:pStyle w:val="Normal(Web)"/>
        <w:divId w:val="3"/>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 Tên đồ án:</w:t>
      </w:r>
      <w:r>
        <w:t xml:space="preserve"> Quy hoạch chi tiết Khu chức năng đô thị Tây Nam đường 70, tỷ lệ 1/500.</w:t>
      </w:r>
    </w:p>
    <w:p>
      <w:pPr>
        <w:pStyle w:val="Normal(Web)"/>
        <w:divId w:val="3"/>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Địa điểm: Phường Đại Mỗ, quận Nam TừLiêm, thành phố Hà Nội.</w:t>
      </w:r>
    </w:p>
    <w:p>
      <w:pPr>
        <w:pStyle w:val="Normal(Web)"/>
        <w:divId w:val="3"/>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2. Vị trí,ranh giới và quy mô nghiên cứu:</w:t>
      </w:r>
    </w:p>
    <w:p>
      <w:pPr>
        <w:pStyle w:val="Normal(Web)"/>
        <w:divId w:val="3"/>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i/>
        </w:rPr>
        <w:t xml:space="preserve">2.1. Vị trí:</w:t>
      </w:r>
    </w:p>
    <w:p>
      <w:pPr>
        <w:pStyle w:val="Normal(Web)"/>
        <w:divId w:val="3"/>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Khu đất lập quy hoạch thuộc địa giớihành chính phường Đại Mỗ, quận Nam Từ Liêm, thành phố Hà Nội.</w:t>
      </w:r>
    </w:p>
    <w:p>
      <w:pPr>
        <w:pStyle w:val="Normal(Web)"/>
        <w:divId w:val="3"/>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i/>
        </w:rPr>
        <w:t xml:space="preserve">2.2. Ranh giới và phạm vi:</w:t>
      </w:r>
    </w:p>
    <w:p>
      <w:pPr>
        <w:pStyle w:val="Normal(Web)"/>
        <w:divId w:val="3"/>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 Phía Đông Bắc: Giáp tuyến đường 70,theo quy hoạch có mặt cắt ngang rộng khoảng 30m;</w:t>
      </w:r>
    </w:p>
    <w:p>
      <w:pPr>
        <w:pStyle w:val="Normal(Web)"/>
        <w:divId w:val="3"/>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 Phía Đông Nam, Tây Bắc: Giáp cáctuyến đường quy hoạch có mặt cắt ngang rộng khoảng 40m;</w:t>
      </w:r>
    </w:p>
    <w:p>
      <w:pPr>
        <w:pStyle w:val="Normal(Web)"/>
        <w:divId w:val="3"/>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 Phía Tây Nam: Giáp tuyến đường quyhoạch có mặt cắt ngang rộng khoảng 21,5m.</w:t>
      </w:r>
    </w:p>
    <w:p>
      <w:pPr>
        <w:pStyle w:val="Normal(Web)"/>
        <w:divId w:val="3"/>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(được xác định trên bản vẽ Sơ đồ vịtrí và giới hạn khu đất)</w:t>
      </w:r>
    </w:p>
    <w:p>
      <w:pPr>
        <w:pStyle w:val="Normal(Web)"/>
        <w:divId w:val="3"/>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i/>
        </w:rPr>
        <w:t xml:space="preserve">2.3. Quy mô:</w:t>
      </w:r>
    </w:p>
    <w:p>
      <w:pPr>
        <w:pStyle w:val="Normal(Web)"/>
        <w:divId w:val="3"/>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Tổng diện tích khu đất nghiên cứu lậpquy hoạch khoảng 305.152m</w:t>
      </w:r>
      <w:r>
        <w:rPr>
          <w:vertAlign w:val="superscript"/>
        </w:rPr>
        <w:t xml:space="preserve">2 </w:t>
      </w:r>
      <w:r>
        <w:t xml:space="preserve">(»30,52ha).</w:t>
      </w:r>
    </w:p>
    <w:p>
      <w:pPr>
        <w:pStyle w:val="Normal(Web)"/>
        <w:divId w:val="3"/>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Quy mô dân số dự kiến khoảng: 7.292người.</w:t>
      </w:r>
    </w:p>
    <w:p>
      <w:pPr>
        <w:pStyle w:val="Normal(Web)"/>
        <w:divId w:val="3"/>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3. Mục tiêu vànguyên tắc:</w:t>
      </w:r>
    </w:p>
    <w:p>
      <w:pPr>
        <w:pStyle w:val="Normal(Web)"/>
        <w:divId w:val="3"/>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i/>
        </w:rPr>
        <w:t xml:space="preserve">3.1. Mục tiêu:</w:t>
      </w:r>
    </w:p>
    <w:p>
      <w:pPr>
        <w:pStyle w:val="Normal(Web)"/>
        <w:divId w:val="3"/>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Cụ thể hóa Quy hoạch chung xây dựngThủ đô Hà Nội đến năm 2030 và tầm nhìn đến năm 2050 được Thủ tướng Chính phủphê duyệt tại Quyết định số 1259/QĐ-TTg ngày 26/7/2011; Quy hoạch phân khu đôthị S4, tỷ lệ 1/5.000 đã được UBND thành phố Hà Nội phê duyệt tại Quyết định số 4324/QĐ-UBND ngày 16/7/2013; Quy chuẩn xây dựng Việt Nam và các Tiêu chuẩnthiết kế hiện hành có liên quan.</w:t>
      </w:r>
    </w:p>
    <w:p>
      <w:pPr>
        <w:pStyle w:val="Normal(Web)"/>
        <w:divId w:val="3"/>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Xây dựng khu chức năng đô thị hiệnđại, đồng bộ về cơ sở hạ tầng xã hội, hạ tầng kỹ thuật, khớp nối với các dự ánđầu tư , khu dân cư lân cận hiện trạng đảm bảo phát triển ổn định, bền vững.Khai thác hiệu quả sử dụng đất trên cơ sở đảm bảo hiệu quả đầu tư và nâng caođời sống nhân dân khu vực; Tạo lập, bổ sung quỹ nhà ở, trường học và các côngtrình công cộng thiết yếu, bãi đỗ xe, cây xanh thể dục thể thao phục vụ Thànhphố và dân cư khu vực.</w:t>
      </w:r>
    </w:p>
    <w:p>
      <w:pPr>
        <w:pStyle w:val="Normal(Web)"/>
        <w:divId w:val="3"/>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Xây dựng Quy định quản lý theo quyhoạch, cùng với đồ án quy hoạch chi tiết làm cơ sở để lập các dự án đầu tư xâydựng, trong đó có dự án đầu tư xây dựng theo hình thức hợp đồng BT của Công tycổ phần thương mại Ngôi nhà mới đã được UBND Thành phố chấp thuận chủ trương vàlà cơ sở pháp lý để chính quyền địa phương quản lý xây dựng theo quy hoạch.</w:t>
      </w:r>
    </w:p>
    <w:p>
      <w:pPr>
        <w:pStyle w:val="Normal(Web)"/>
        <w:divId w:val="3"/>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i/>
        </w:rPr>
        <w:t xml:space="preserve">3.2. Nguyên tắc:</w:t>
      </w:r>
    </w:p>
    <w:p>
      <w:pPr>
        <w:pStyle w:val="Normal(Web)"/>
        <w:divId w:val="3"/>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Tuân thủ Quy hoạch chung xây dựng Thủđô Hà Nội đến năm 2030 và tầm nhìn đến năm 2050, Quy hoạch phân khu đô thị S4được duyệt, Nhiệm vụ quy hoạch chi tiết Khu chức năng đô thị Tây Nam đường 70,tỷ lệ 1/500 được UBND thành phố Hà Nội phê duyệt tại Quyết định số 750/QĐ-UBNDngày 11/02/2015, Quy chuẩn xây dựng Việt Nam và các Tiêu chuẩn hiện hành cóliên quan.</w:t>
      </w:r>
    </w:p>
    <w:p>
      <w:pPr>
        <w:pStyle w:val="Normal(Web)"/>
        <w:divId w:val="3"/>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Xác định cơ cấu, chức năng sử dụngđất cho các ô đất kèm theo các chỉ tiêu quy hoạch kiến trúc cụ thể cho từng ôđất, đề xuất giải pháp tổ chức không gian kiến trúc cảnh quan và hệ thống hạtầng kỹ thuật trong khu vực, đồng bộ, hiện đại phù hợp Quy chuẩn xây dựng ViệtNam, Tiêu chuẩn thiết kế chuyên ngành và các quy định hiện hành có liên quanđảm bảo gắn kết hài hòa với tuyến đường 70 và khu vực lân cận hiện trạng.</w:t>
      </w:r>
    </w:p>
    <w:p>
      <w:pPr>
        <w:pStyle w:val="Normal(Web)"/>
        <w:divId w:val="3"/>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4. Nội dungquy hoạch chi tiết:</w:t>
      </w:r>
    </w:p>
    <w:p>
      <w:pPr>
        <w:pStyle w:val="Normal(Web)"/>
        <w:divId w:val="3"/>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i/>
        </w:rPr>
        <w:t xml:space="preserve">4.1. Quy hoạch tổng mặt bằng sửdụng đất:</w:t>
      </w:r>
    </w:p>
    <w:p>
      <w:pPr>
        <w:pStyle w:val="Normal(Web)"/>
        <w:divId w:val="3"/>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Khu vực nghiên cứu lập quy hoạch chitiết có tổng diện tích đất khoảng 305.152m</w:t>
      </w:r>
      <w:r>
        <w:rPr>
          <w:vertAlign w:val="superscript"/>
        </w:rPr>
        <w:t xml:space="preserve">2</w:t>
      </w:r>
      <w:r>
        <w:t xml:space="preserve">, bao gồm các chức năngsử dụng đất như sau:</w:t>
      </w:r>
    </w:p>
    <w:p>
      <w:pPr>
        <w:pStyle w:val="Normal(Web)"/>
        <w:divId w:val="3"/>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Bảngtổng hợp quy hoạch sử dụng đất</w:t>
      </w:r>
    </w:p>
    <w:tbl>
      <w:tblPr>
        <w:tblStyle w:val="TableNorm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600" w:firstRow="0" w:lastRow="0" w:firstColumn="0" w:lastColumn="0" w:noHBand="1" w:noVBand="1"/>
      </w:tblPr>
      <w:tblGrid>
        <w:gridCol w:w="60"/>
        <w:gridCol w:w="60"/>
      </w:tblGrid>
      <w:tr>
        <w:trPr/>
        <w:tc>
          <w:tcPr>
            <w:tcW w:w="0" w:type="auto"/>
            <w:vMerge w:val="restart"/>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TT</w:t>
            </w:r>
          </w:p>
        </w:tc>
        <w:tc>
          <w:tcPr>
            <w:tcW w:w="0" w:type="auto"/>
            <w:vMerge w:val="restart"/>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Chức năng sử dụng đất</w:t>
            </w:r>
          </w:p>
        </w:tc>
        <w:tc>
          <w:tcPr>
            <w:tcW w:w="0" w:type="auto"/>
            <w:gridSpan w:val="2"/>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Diện tích</w:t>
            </w:r>
          </w:p>
        </w:tc>
        <w:tc>
          <w:tcPr>
            <w:tcW w:w="0" w:type="auto"/>
            <w:gridSpan w:val="2"/>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Tỷ lệ</w:t>
            </w:r>
          </w:p>
        </w:tc>
      </w:tr>
      <w:tr>
        <w:trPr/>
        <w:tc>
          <w:tcPr>
            <w:tcW w:w="0" w:type="auto"/>
            <w:vMerge/>
            <w:shd w:val="clear" w:color="auto" w:fill="auto"/>
            <w:vAlign w:val="center"/>
          </w:tcPr>
          <w:p>
            <w:pPr/>
          </w:p>
        </w:tc>
        <w:tc>
          <w:tcPr>
            <w:tcW w:w="0" w:type="auto"/>
            <w:vMerge/>
            <w:shd w:val="clear" w:color="auto" w:fill="auto"/>
            <w:vAlign w:val="center"/>
          </w:tcPr>
          <w:p>
            <w:pPr/>
          </w:p>
        </w:tc>
        <w:tc>
          <w:tcPr>
            <w:tcW w:w="0" w:type="auto"/>
            <w:gridSpan w:val="2"/>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(m</w:t>
            </w:r>
            <w:r>
              <w:rPr>
                <w:vertAlign w:val="superscript"/>
              </w:rPr>
              <w:t xml:space="preserve">2</w:t>
            </w:r>
            <w:r>
              <w:t xml:space="preserve">)</w:t>
            </w:r>
          </w:p>
        </w:tc>
        <w:tc>
          <w:tcPr>
            <w:tcW w:w="0" w:type="auto"/>
            <w:gridSpan w:val="2"/>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A</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rPr>
                <w:b/>
              </w:rPr>
              <w:t xml:space="preserve">Đất dân dụng</w:t>
            </w:r>
          </w:p>
        </w:tc>
        <w:tc>
          <w:tcPr>
            <w:tcW w:w="0" w:type="auto"/>
            <w:gridSpan w:val="2"/>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b/>
              </w:rPr>
              <w:t xml:space="preserve">298.664</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I</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đường giao thông thành phố, khu vực (B = 17-21,5- 27-40m) </w:t>
            </w:r>
          </w:p>
        </w:tc>
        <w:tc>
          <w:tcPr>
            <w:tcW w:w="0" w:type="auto"/>
            <w:gridSpan w:val="2"/>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79.292</w:t>
            </w:r>
          </w:p>
        </w:tc>
        <w:tc>
          <w:tcPr>
            <w:tcW w:w="0" w:type="auto"/>
            <w:gridSpan w:val="2"/>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25,98</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II</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đơn vị ở</w:t>
            </w:r>
          </w:p>
        </w:tc>
        <w:tc>
          <w:tcPr>
            <w:tcW w:w="0" w:type="auto"/>
            <w:gridSpan w:val="2"/>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219.372</w:t>
            </w:r>
          </w:p>
        </w:tc>
        <w:tc>
          <w:tcPr>
            <w:tcW w:w="0" w:type="auto"/>
            <w:gridSpan w:val="2"/>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71,89</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công cộng đơn vị ở</w:t>
            </w:r>
          </w:p>
        </w:tc>
        <w:tc>
          <w:tcPr>
            <w:tcW w:w="0" w:type="auto"/>
            <w:gridSpan w:val="2"/>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5.137</w:t>
            </w:r>
          </w:p>
        </w:tc>
        <w:tc>
          <w:tcPr>
            <w:tcW w:w="0" w:type="auto"/>
            <w:gridSpan w:val="2"/>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1,68</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2</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cây xanh, TDTT đơn vị ở, nhóm nhà ở</w:t>
            </w:r>
          </w:p>
        </w:tc>
        <w:tc>
          <w:tcPr>
            <w:tcW w:w="0" w:type="auto"/>
            <w:gridSpan w:val="2"/>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27.188</w:t>
            </w:r>
          </w:p>
        </w:tc>
        <w:tc>
          <w:tcPr>
            <w:tcW w:w="0" w:type="auto"/>
            <w:gridSpan w:val="2"/>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8,9</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3</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đường giao thông đơn vị ở (B = 12-13-21,5m)</w:t>
            </w:r>
          </w:p>
        </w:tc>
        <w:tc>
          <w:tcPr>
            <w:tcW w:w="0" w:type="auto"/>
            <w:gridSpan w:val="2"/>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36.698</w:t>
            </w:r>
          </w:p>
        </w:tc>
        <w:tc>
          <w:tcPr>
            <w:tcW w:w="0" w:type="auto"/>
            <w:gridSpan w:val="2"/>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12,03</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4</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bãi đỗ xe</w:t>
            </w:r>
          </w:p>
        </w:tc>
        <w:tc>
          <w:tcPr>
            <w:tcW w:w="0" w:type="auto"/>
            <w:gridSpan w:val="2"/>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3.344</w:t>
            </w:r>
          </w:p>
        </w:tc>
        <w:tc>
          <w:tcPr>
            <w:tcW w:w="0" w:type="auto"/>
            <w:gridSpan w:val="2"/>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1,10</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5</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trường học (mầm non, tiểu học, trung học cơ sở)</w:t>
            </w:r>
          </w:p>
        </w:tc>
        <w:tc>
          <w:tcPr>
            <w:tcW w:w="0" w:type="auto"/>
            <w:gridSpan w:val="2"/>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26.412</w:t>
            </w:r>
          </w:p>
        </w:tc>
        <w:tc>
          <w:tcPr>
            <w:tcW w:w="0" w:type="auto"/>
            <w:gridSpan w:val="2"/>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8,66</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6</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nhà ở xã hội cao tầng</w:t>
            </w:r>
          </w:p>
        </w:tc>
        <w:tc>
          <w:tcPr>
            <w:tcW w:w="0" w:type="auto"/>
            <w:gridSpan w:val="2"/>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23.593</w:t>
            </w:r>
          </w:p>
        </w:tc>
        <w:tc>
          <w:tcPr>
            <w:tcW w:w="0" w:type="auto"/>
            <w:gridSpan w:val="2"/>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7,73</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7</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nhà ở thấp tầng</w:t>
            </w:r>
          </w:p>
        </w:tc>
        <w:tc>
          <w:tcPr>
            <w:tcW w:w="0" w:type="auto"/>
            <w:gridSpan w:val="2"/>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67.301</w:t>
            </w:r>
          </w:p>
        </w:tc>
        <w:tc>
          <w:tcPr>
            <w:tcW w:w="0" w:type="auto"/>
            <w:gridSpan w:val="2"/>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22,05</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8</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nhà ở dân cư hiện có</w:t>
            </w:r>
          </w:p>
        </w:tc>
        <w:tc>
          <w:tcPr>
            <w:tcW w:w="0" w:type="auto"/>
            <w:gridSpan w:val="2"/>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29.699</w:t>
            </w:r>
          </w:p>
        </w:tc>
        <w:tc>
          <w:tcPr>
            <w:tcW w:w="0" w:type="auto"/>
            <w:gridSpan w:val="2"/>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9,74</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B</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rPr>
                <w:b/>
              </w:rPr>
              <w:t xml:space="preserve">Các loại đất khác trong phạm vi dân dụng</w:t>
            </w:r>
          </w:p>
        </w:tc>
        <w:tc>
          <w:tcPr>
            <w:tcW w:w="0" w:type="auto"/>
            <w:gridSpan w:val="2"/>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6.488</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I</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cơ quan hiện có</w:t>
            </w:r>
          </w:p>
        </w:tc>
        <w:tc>
          <w:tcPr>
            <w:tcW w:w="0" w:type="auto"/>
            <w:gridSpan w:val="2"/>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4.683</w:t>
            </w:r>
          </w:p>
        </w:tc>
        <w:tc>
          <w:tcPr>
            <w:tcW w:w="0" w:type="auto"/>
            <w:gridSpan w:val="2"/>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1,54</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II</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hạ tầng kỹ thuật</w:t>
            </w:r>
          </w:p>
        </w:tc>
        <w:tc>
          <w:tcPr>
            <w:tcW w:w="0" w:type="auto"/>
            <w:gridSpan w:val="2"/>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1.805</w:t>
            </w:r>
          </w:p>
        </w:tc>
        <w:tc>
          <w:tcPr>
            <w:tcW w:w="0" w:type="auto"/>
            <w:gridSpan w:val="2"/>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0,59</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rPr>
                <w:b/>
              </w:rPr>
              <w:t xml:space="preserve">Tổng cộng</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b/>
              </w:rPr>
              <w:t xml:space="preserve">305.152</w:t>
            </w:r>
          </w:p>
        </w:tc>
        <w:tc>
          <w:tcPr>
            <w:tcW w:w="0" w:type="auto"/>
            <w:gridSpan w:val="2"/>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100</w:t>
            </w:r>
          </w:p>
        </w:tc>
      </w:tr>
    </w:tbl>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rPr>
          <w:b/>
        </w:rPr>
        <w:t xml:space="preserve">Bảng thống kê chức năng sử dụngđất, các chỉ tiêu quy hoạch kiến trúc</w:t>
      </w:r>
    </w:p>
    <w:tbl>
      <w:tblPr>
        <w:tblStyle w:val="TableNorm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600" w:firstRow="0" w:lastRow="0" w:firstColumn="0" w:lastColumn="0" w:noHBand="1" w:noVBand="1"/>
      </w:tblPr>
      <w:tblGrid>
        <w:gridCol w:w="60"/>
        <w:gridCol w:w="60"/>
        <w:gridCol w:w="60"/>
      </w:tblGrid>
      <w:tr>
        <w:trPr/>
        <w:tc>
          <w:tcPr>
            <w:tcW w:w="0" w:type="auto"/>
            <w:vMerge w:val="restart"/>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TT</w:t>
            </w:r>
          </w:p>
        </w:tc>
        <w:tc>
          <w:tcPr>
            <w:tcW w:w="0" w:type="auto"/>
            <w:vMerge w:val="restart"/>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Chức năng sử dụng đất</w:t>
            </w:r>
          </w:p>
        </w:tc>
        <w:tc>
          <w:tcPr>
            <w:tcW w:w="0" w:type="auto"/>
            <w:vMerge w:val="restart"/>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Ký hiệu</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Diện tích đất</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Diện tích xây dựng</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Tổng diện tích sàn</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Mật độ xây dựng</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Tầng cao công trình</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Hệ số sử dụng đất</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Số lô đất</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Dân số</w:t>
            </w:r>
          </w:p>
        </w:tc>
      </w:tr>
      <w:tr>
        <w:trPr/>
        <w:tc>
          <w:tcPr>
            <w:tcW w:w="0" w:type="auto"/>
            <w:vMerge/>
            <w:shd w:val="clear" w:color="auto" w:fill="auto"/>
            <w:vAlign w:val="center"/>
          </w:tcPr>
          <w:p>
            <w:pPr/>
          </w:p>
        </w:tc>
        <w:tc>
          <w:tcPr>
            <w:tcW w:w="0" w:type="auto"/>
            <w:vMerge/>
            <w:shd w:val="clear" w:color="auto" w:fill="auto"/>
            <w:vAlign w:val="center"/>
          </w:tcPr>
          <w:p>
            <w:pPr/>
          </w:p>
        </w:tc>
        <w:tc>
          <w:tcPr>
            <w:tcW w:w="0" w:type="auto"/>
            <w:vMerge/>
            <w:shd w:val="clear" w:color="auto" w:fill="auto"/>
            <w:vAlign w:val="center"/>
          </w:tcPr>
          <w:p>
            <w:pP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i/>
              </w:rPr>
              <w:t xml:space="preserve">(m</w:t>
            </w:r>
            <w:r>
              <w:rPr>
                <w:i/>
                <w:vertAlign w:val="superscript"/>
              </w:rPr>
              <w:t xml:space="preserve">2</w:t>
            </w:r>
            <w:r>
              <w:rPr>
                <w:i/>
              </w:rPr>
              <w:t xml:space="preserve">)</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i/>
              </w:rPr>
              <w:t xml:space="preserve">(m</w:t>
            </w:r>
            <w:r>
              <w:rPr>
                <w:i/>
                <w:vertAlign w:val="superscript"/>
              </w:rPr>
              <w:t xml:space="preserve">2</w:t>
            </w:r>
            <w:r>
              <w:rPr>
                <w:i/>
              </w:rPr>
              <w:t xml:space="preserve">)</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i/>
              </w:rPr>
              <w:t xml:space="preserve">(m</w:t>
            </w:r>
            <w:r>
              <w:rPr>
                <w:i/>
                <w:vertAlign w:val="superscript"/>
              </w:rPr>
              <w:t xml:space="preserve">2</w:t>
            </w:r>
            <w:r>
              <w:rPr>
                <w:i/>
              </w:rPr>
              <w:t xml:space="preserve">)</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i/>
              </w:rPr>
              <w:t xml:space="preserve">(%)</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i/>
              </w:rPr>
              <w:t xml:space="preserve">(tầng)</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i/>
              </w:rPr>
              <w:t xml:space="preserve">(lần)</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i/>
              </w:rPr>
              <w:t xml:space="preserve">(lô)</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i/>
              </w:rPr>
              <w:t xml:space="preserve">(người)</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A</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Đất dân dụng</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298.664</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I</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đường giao thông thành phố, khu vực (B=17-21,5-27-40m)</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79.292</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đường liên khu vực</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27.213</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2</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đường chính khu vực</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35.382</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3</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đường khu vực</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16.697</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II</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đơn vị ở</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219.372</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80.529</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456.137</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1¸22</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7.292</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II.1</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công cộng đơn vị ở</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CC</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5.137</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1.750</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5.050</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1¸3</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Chợ, trung tâm thương mại</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CC1</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4.162</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1.650</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4.950</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40</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3</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1,2</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2</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Nhà văn hóa hiện có</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CC2</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975</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100</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100</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10</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0,1</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II.2</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cây xanh, TDTT đơn vị ở, nhóm nhà ở</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CX</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27.188</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520</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520</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cây xanh, TDTT đơn vị ở, nhóm nhà ở</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CX1</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216</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2</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cây xanh, TDTT đơn vị ở, nhóm nhà ở</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CX2</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216</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3</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cây xanh, TDTT đơn vị ở, nhóm nhà ở</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CX3</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216</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4</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cây xanh, TDTT đơn vị ở nhóm nhà ở</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CX4</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216</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5</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cây xanh, TDTT đơn vị ở, nhóm nhà ở</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CX5</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360</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6</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cây xanh, TDTT đơn vị ở, nhóm nhà ở</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CX6</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216</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7</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cây xanh, TDTT đơn vị ở, nhóm nhà ở</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CX7</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6.049</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8</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cây xanh, TDTT đơn vị ở, nhóm nhà ở</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CX8</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311</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9</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cây xanh, TDTT đơn vị ở, nhóm nhà ở</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CX9</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180</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10</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cây xanh, TDTT đơn vị ở, nhóm nhà ở</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CX10</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216</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11</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cây xanh, TDTT đơn vị ở, nhóm nhà ở</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CX11</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216</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12</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cây xanh, TDTT đơn vị ở, nhóm nhà ở</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CX12</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216</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13</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cây xanh, TDTT đơn vị ở, nhóm nhà ở</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CX13</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10.448</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520</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520</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5</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0,05</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14</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cây xanh, TDTT đơn vị ở, nhóm nhà ở</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CX14</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194</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15</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cây xanh, TDTT đơn vị ở, nhóm nhà ở</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CX15</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867</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16</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cây xanh, TDTT đơn vị ở, nhóm nhà ở</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CX16</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216</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17</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cây xanh, TDTT đơn vị ở, nhóm nhà ở</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CX17</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2.327</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18</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cây xanh, TDTT đơn vị ở, nhóm nhà ở</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CX18</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1.611</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19</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cây xanh, TDTT đơn vị ở, nhóm nhà ở</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CX19</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240</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20</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cây xanh, TDTT đơn vị ở, nhóm nhà ở</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CX20</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216</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21</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cây xanh, TDTT đơn vị ở, nhóm nhà ở</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CX21</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1.277</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22</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cây xanh, TDTT đơn vị ở, nhóm nhà ở</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CX22</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240</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23</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cây xanh, TDTT đơn vị ở, nhóm nhà ở</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CX23</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673</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24</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cây xanh, TDTT đơn vị ở, nhóm nhà ở</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CX24</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251</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II.3</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đường giao thông đơn vị ở</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36.698</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1</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đường phân khu vực</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19.148</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2</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đường nhóm nhà ở</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17.550</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II.4</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bãi đỗ xe</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P</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3.344</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1</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bãi đỗ xe</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P1</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1.544</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2</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bãi đỗ xe</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P2</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1.800</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II.5</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trường học</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26.412</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4.710</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12.790</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2¸3</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1</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trường Mầm non</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MN</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8.392</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1.340</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2.680</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16</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2</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0,32</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400</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2</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trường Tiểu học</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TH</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8.142</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1.620</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4.860</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20</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3</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0,60</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520</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3</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trường Trung học cơ sở</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THCS</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9.878</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1.750</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5.250</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18</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3</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0,53</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440</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II.6</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nhà ở xã hội cao tầng</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CTXH</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23.593</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7.544</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107.752</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32</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22</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4,6</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3.598</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II.7</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nhà ở thấp tầng</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TT</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67.301</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48.779</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243.895</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5</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571</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2.284</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1</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nhà ở thấp tầng</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TT1</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1.613</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1.175</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5.875</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73</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5</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3,6</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14</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56</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2</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nhà ở thấp tầng</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TT2</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1.728</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1.310</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6.550</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76</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5</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3,8</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16</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64</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3</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nhà ở thấp tầng</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TT3</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1.728</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1.310</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6.550</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76</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5</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3,8</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16</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64</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4</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nhà ở thấp tầng</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TT4</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1.503</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1.104</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5.520</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73</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5</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3,7</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13</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52</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5</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nhà ở thấp tầng</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TT5</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2.012</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1.474</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7.370</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73</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5</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3,7</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17</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68</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6</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nhà ở thấp tầng</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TT6</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1.296</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983</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4.915</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76</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5</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3,8</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12</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48</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7</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nhà ở thấp tầng</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TT7</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1.296</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983</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4.915</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76</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5</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3,8</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12</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48</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8</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nhà ở thấp tầng</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TT8</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1.117</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797</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3.985</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71</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5</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3,6</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10</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40</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9</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nhà ở thấp tầng</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TT9</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1.676</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880</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4.400</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53</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5</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2,6</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8</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32</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10</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nhà ở thấp tầng</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TT10</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1.445</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770</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3.850</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53</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5</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2,7</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7</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28</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11</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nhà ở thấp tầng</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TT11</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1.247</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660</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3.300</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53</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5</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2,6</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6</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24</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12</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nhà ở thấp tầng</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TT12</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1.388</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770</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3.850</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55</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5</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2,8</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7</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28</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13</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nhà ở thấp tầng</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TT13</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2.027</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1.474</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7.370</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73</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5</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3,6</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14</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56</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14</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nhà ở thấp tầng</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TT14</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2.409</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1.768</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8.840</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73</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5</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3,7</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20</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80</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15</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nhà ở thấp tầng</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TT15</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1.460</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1.035</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5.175</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71</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5</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3,5</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13</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52</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16</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nhà ở thấp tầng</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TT16</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864</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655</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3.275</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76</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5</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3,8</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8</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32</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17</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nhà ở thấp tầng</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TT17</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2.080</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1.449</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7.245</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70</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5</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3,5</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18</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72</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18</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nhà ở thấp tầng</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TT18</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2.160</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1.638</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8.190</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76</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5</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3,8</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20</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80</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19</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nhà ở thấp tầng</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TT19</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2.160</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1.638</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8.190</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76</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5</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3,8</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20</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80</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20</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nhà ở thấp tầng</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TT20</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1.816</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1.332</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6.660</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73</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5</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3,7</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16</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64</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21</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nhà ở thấp tầng</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TT21</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1.226</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898</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4.490</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73</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5</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3,7</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11</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44</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22</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nhà ở thấp tầng</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TT22</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1.260</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952</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4.760</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76</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5</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3,8</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12</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48</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23</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nhà ở thấp tầng</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TT23</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1.260</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952</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4.760</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76</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5</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3,8</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12</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48</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24</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nhà ở thấp tầng</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TT24</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1.396</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1.019</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5.095</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73</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5</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3,6</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12</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48</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25</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nhà ở thấp tầng</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TT25</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1.294</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977</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4.885</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76</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5</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3,8</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12</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48</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26</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nhà ở thấp tầng</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TT26</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1.194</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902</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4.510</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76</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5</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3,8</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11</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44</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27</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nhà ở thấp tầng</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TT27</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1.666</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1.094</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5.470</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66</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5</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3,3</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13</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52</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28</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nhà ở thấp tầng</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TT28</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2.112</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1.553</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7.765</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74</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5</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3,7</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18</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72</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29</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nhà ở thấp tầng</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TT29</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4.465</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3.349</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16.745</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75</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5</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3,8</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33</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132</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30</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nhà ở thấp tầng</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TT30</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1.196</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878</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4.390</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73</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5</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3,7</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10</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40</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31</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nhà ở thấp tầng</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TT31</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888</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635</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3.175</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72</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5</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3,6</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7</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28</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32</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nhà ở thấp tầng</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TT32</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1.341</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978</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4.890</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73</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5</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3,6</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12</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48</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33</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nhà ở thấp tầng</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TT33</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770</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554</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2.770</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72</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5</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3,6</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6</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24</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34</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nhà ở thấp tầng</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TT34</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2.264</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1.740</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8.700</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77</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5</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3,8</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22</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88</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35</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nhà ở thấp tầng</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TT35</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2.404</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1.846</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9.230</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77</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5</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3,8</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23</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92</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36</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nhà ở thấp tầng</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TT36</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762</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578</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2.890</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76</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5</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3,8</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8</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32</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37</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nhà ở thấp tầng</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TT37</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1.528</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1.212</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6.060</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79</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5</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4,0</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16</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64</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38</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nhà ở thấp tầng</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TT38</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1.719</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1.306</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6.530</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76</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5</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3,8</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16</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64</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39</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nhà ở thấp tầng</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TT39</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1.719</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1.306</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6.530</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76</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5</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3,8</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16</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64</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40</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nhà ở thấp tầng</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TT40</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1.898</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1.501</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7.505</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79</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5</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4,0</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18</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72</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41</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nhà ở thấp tầng</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TT41</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1.914</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1.344</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6.720</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70</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5</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3,5</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16</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64</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II.8</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nhà ở dân cư hiện có</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HT</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29.699</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17.226</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86.130</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5</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1.410</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1</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nhà ở dân cư hiện có</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HT1</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10.077</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5.845</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29.225</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58</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5</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2,9</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458</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2</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nhà ở dân cư hiện có</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HT2</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8.276</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4.800</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24.000</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58</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5</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2,9</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384</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3</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nhà ở dân cư hiện có</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HT3</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11.346</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6.581</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32.905</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58</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5</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2,9</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568</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rPr>
                <w:b/>
              </w:rPr>
              <w:t xml:space="preserve">B</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rPr>
                <w:b/>
              </w:rPr>
              <w:t xml:space="preserve">Các loại đất khác trong phạm vi dân dụng</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b/>
              </w:rPr>
              <w:t xml:space="preserve">6.488</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I</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cơ quan hiện có</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CQ</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4.683</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2.257</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3.661</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48</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1-3</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0,8</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II</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hạ tầng kỹ thuật</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HTKT</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1.805</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1</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trạm biến áp</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HTKT1</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494</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2</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Đất trạm xử lý nước thải</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HTKT2</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1.311</w:t>
            </w:r>
          </w:p>
        </w:tc>
      </w:tr>
      <w:tr>
        <w:trPr/>
        <w:tc>
          <w:tcPr>
            <w:tcW w:w="0" w:type="auto"/>
            <w:hMerge w:val="restart"/>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Tổng cộng</w:t>
            </w:r>
          </w:p>
        </w:tc>
        <w:tc>
          <w:tcPr>
            <w:tcW w:w="0" w:type="auto"/>
            <w:hMerge/>
            <w:shd w:val="clear" w:color="auto" w:fill="auto"/>
            <w:vAlign w:val="center"/>
          </w:tcPr>
          <w:p>
            <w:pP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305.152</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82.786</w:t>
            </w:r>
          </w:p>
        </w:tc>
        <w:tc>
          <w:tcPr>
            <w:tcW w:w="0" w:type="auto"/>
            <w:gridSpan w:val="3"/>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7.292</w:t>
            </w:r>
          </w:p>
        </w:tc>
      </w:tr>
    </w:tbl>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rPr>
          <w:b/>
          <w:i/>
        </w:rPr>
        <w:t xml:space="preserve">*Ghi chú:</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rPr>
          <w:i/>
        </w:rPr>
        <w:t xml:space="preserve">Các chỉ tiêu quy hoạch kiến trúc xác định cụ thểtại Bản vẽ Quy hoạch Tổng mặt bằng sử dụng đất (QH-04B); Quy mô dân số xác địnhcho lô đất nhà ở liên kế là 04 người/lô đất.</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rPr>
          <w:i/>
        </w:rPr>
        <w:t xml:space="preserve">Chỉ giới đường đỏ, chỉ giới xây dựng, khoảng lùicông trình và các chỉ tiêu sử dụng đất khu vực lập dự án cụ thể phải tuân thủcác quy định của Quy chuẩn xây dựng Việt Nam và các Tiêu chuẩn, quy định hiệnhành; nếu điều chỉnh theo nhu cầu cụ thể cần tuân thủ các quy định và được cấpcó thẩm quyền phê duyệt.</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rPr>
          <w:i/>
        </w:rPr>
        <w:t xml:space="preserve">Quỹ đất ở để phát triển nhà ở xã hội có tổngdiện tích khoảng 23.593m</w:t>
      </w:r>
      <w:r>
        <w:rPr>
          <w:i/>
          <w:vertAlign w:val="superscript"/>
        </w:rPr>
        <w:t xml:space="preserve">2</w:t>
      </w:r>
      <w:r>
        <w:rPr>
          <w:i/>
        </w:rPr>
        <w:t xml:space="preserve"> (chiếm khoảng 26% tổng diện tích đất xâydựng nhà ở mới) bố trí tại ô đất ký hiệu CT-XH.</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rPr>
          <w:i/>
        </w:rPr>
        <w:t xml:space="preserve">Đối với các khu vực đất ở dân cư hiện có cải tạochỉnh trang sẽ được thực hiện theo dự án riêng, đảm bảo tuân thủ Tiêu chuẩn,Quy chuẩn xây dựng hiện hành và giấy phép xây dựng được cấp thẩm quyền phêduyệt.</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rPr>
          <w:i/>
        </w:rPr>
        <w:t xml:space="preserve">Đối với đất cơ quan hiện có, khi triển khai đầutư xây dựng mới sẽ thực hiện theo dự án riêng được cấp thẩm quyền phê duyệt,đảm bảo tuân thủ Tiêu chuẩn, Quy chuẩn xây dựng hiện hành.</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rPr>
          <w:i/>
        </w:rPr>
        <w:t xml:space="preserve">Trong các công trình nhà ở, công trình côngcộng, bố trí đủ diện tích đỗ xe phục vụ cho công trình đảm bảo tuân thủ theoQuy chuẩn xây dựng Việt Nam và Tiêu chuẩn thiết kế hiện hành. Các công trìnhphải đảm bảo các yêu cầu về phòng chống cháy nổ, an toàn vệ sinh môi trường vàđược cơ quan có thẩm quyền xác nhận bằng văn bản.</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rPr>
          <w:b/>
          <w:i/>
        </w:rPr>
        <w:t xml:space="preserve">4.2. Tổ chức không gian quy hoạch kiến trúccảnh quan:</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rPr>
          <w:i/>
        </w:rPr>
        <w:t xml:space="preserve">a) Các yêu cầu về tổ chức không gian kiến trúccảnh quan và thiết kế đô thị:</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Bố cục mặt bằng, hình dáng các công trình xây dựngcụ thể sẽ được thực hiện ở giai đoạn lập dự án đầu tư xây dựng, khi thiết kếcông trình cụ thể cần đảm bảo các chỉ tiêu sử dụng đất (diện tích đất, mật độxây dựng, tầng cao ...) theo đúng các yêu cầu của Tiêu chuẩn thiết kế chuyênngành, Quy chuẩn xây dựng Việt Nam và các quy định hiện hành.</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Đảm bảo kết nối hài hòa không gian quy hoạch kiếntrúc cảnh quan của đồ án với các dự án đầu tư Khu chức năng đô thị Đại Mỗ, cáckhu vực dân cư hiện trạng, đường 70 và các khu vực xung quanh.</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Các công trình công cộng được đưa vào trung tâmnhóm nhà ở, đảm bảo bán kính phục vụ theo Quy chuẩn xây dựng Việt Nam.</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Lựa chọn hình thức kiến trúc phù hợp trong mối liênhệ không gian giữa khu phát triển ở mới với khu vực làng xóm hiện có, đảm bảotính kết nối liên tục của hệ thống cây xanh cảnh quan trong khu ở và gắn kếtđược với không gian xanh xung quanh.</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Yêu cầu về công trình:</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Quy mô đất công trình, các chỉ tiêu quy hoạchkiến trúc tại ô đất tuân thủ các chỉ tiêu xác lập trong Quy hoạch tổng mặt bằngsử dụng đất, phù hợp với Tiêu chuẩn, Quy chuẩn xây dựng Việt Nam.</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Bố trí hướng của các nhóm nhà ở mới đảm bảothoáng mát nhưng cũng phải đảm bảo tính đa dạng về hướng để phục vụ tốt nhu cầusử dụng của người dân hiện nay.</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Khoảng lùi của công trình tuân thủ quy định tạiTiêu chuẩn, Quy chuẩn xây dựng Việt Nam, đảm bảo tính thống nhất trên tuyến phố.</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Hình thức kiến trúc các công trình hiện đại; sửdụng vật liệu, màu sắc, cây xanh sân vườn phù hợp với chức năng sử dụng củatừng công trình và hài hòa với cảnh quan khu vực, đồng thời tạo được điểm nhấnvề không gian cho khu vực.</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Trong khuôn viên ô đất của từng công trình đảmbảo diện tích đỗ xe phục vụ cho công trình, cũng như các hệ thống kỹ thuật phụtrợ khác phù hợp Tiêu chuẩn; Phải có lối thoát người khi có sự cố theo quy định.</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Các công trình trường học cần đảm bảo diện tíchsân chơi, cây xanh theo quy định và tổ chức kiến trúc theo hướng sinh động, hấpdẫn phù hợp lứa tuổi, có hình thức nhẹ nhàng, thanh thoát, hài hòa cảnh quanthiên nhiên.</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Công trình bãi đỗ xe cần có không gian kiến trúchiện đại, hài hòa với cảnh quan chung, để tạo không gian mở không bố trí tườngrào bao quanh, đảm bảo các yêu cầu công tác phòng cháy chữa cháy, thoát người.</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Đảm bảo yêu cầu an toàn giao thông tại khu vựclối vào chính các công trình công cộng và trường học được an toàn và thôngsuốt, tổ chức đấu nối giao thông công trình với mạng lưới đường giao thông bênngoài hợp lý, không bị tắc nghẽn, chú trọng các vịnh ra vào xe, không gianchuyển tiếp và đưa đón học sinh.</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Yêu cầu về cây xanh:</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Tổ chức không gian xanh phải tận dụng, khai thác,lựa chọn đất thích hợp, kết hợp hài hòa với môi trường xung quanh, tổ chứcthành hệ thống đa dạng, phong phú. Tuân thủ Quy chuẩn kỹ thuật về quy hoạch,thiết kế cây xanh đô thị.</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Khu cây xanh, vườn hoa nghiên cứu tổ chức khônggian mở, tạo không gian nghỉ ngơi, thư giãn, đồng thời kết hợp với kiến trúctiêu cảnh và các tiện ích để người dân có thể luyện tập thể thao, đi dạo.</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Yêu cầu về chiếu sáng, tiện ích đô thị: Khai thácnghệ thuật ánh sáng vào tổ chức cảnh quan, đặc biệt hình ảnh về đêm như chiếusáng công trình, chiếu sáng đường phố, chiếu sáng công viên cây xanh ... Cógiải pháp, yêu cầu chiếu sáng phù hợp đối với các khu chức năng khác nhau.</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Đối với công trình HTKT: cần có giải pháp kiếntrúc phù hợp, tránh làm ảnh hưởng đến cảnh quan chung của khu vực. Tăng cườngsử dụng công nghệ tiên tiến, hiện đại như công nghệ không dây để hạn chế cácđường dây, đường ống, kết hợp trong khu công viên cây xanh cần có giải phápkiến trúc phù hợp, tránh làm ảnh hưởng đến cảnh quan chung của khu vực.</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rPr>
          <w:i/>
        </w:rPr>
        <w:t xml:space="preserve">b) Các khu vực trọng tâm, tuyến, điểm nhấn, tầmnhìn quan trọng và phân vùng thiết kế đô thị:</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Trên cơ sở duy trì, chỉnh trang 2 khu dân cư hiệntrạng, đảm bảo kết nối không gian theo hướng trục Đông Bắc - Tây Nam kết nốikhu vực đường vành đai 3,5 - hồ công viên - đường 70 với vành đai xanh thôngqua giải pháp tổ chức 2 trục giao thông chính có mặt cắt ngang khoảng 40m vàtrục trung tâm có mặt cắt ngang khoảng 21,5m kết hợp các không gian mở, côngviên cây xanh.</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Công trình tạo lập điểm nhấn đô thị là cụm các côngtrình nhà ở xã hội cao 22 tầng (ô đất quy hoạch ký hiệu CTXH) kết nối với cáccông trình công cộng, trường học, nhà trẻ bố trí dọc tuyến trục đường trung tâmtrong lõi quy hoạch, kết hợp với khu dân cư hiện trạng tạo bố cục không gianthống nhất hài hòa. Phía Bắc và phía Đông trục trung tâm được tổ chức xây dựngcác công trình thấp tầng kết hợp thương mại dịch vụ tạo nên sự sầm uất, sốngđộng của khu nhà ở; đan xen là các mảng cây xanh, dải cây xanh kết hợp thể dụcthể thao hình thành nên các không gian mở, tạo cảnh quan môi trường, vi khí hậu.</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rPr>
          <w:b/>
          <w:i/>
        </w:rPr>
        <w:t xml:space="preserve">4.3. Quy hoạch hệ thống hạ tầng kỹ thuật:</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rPr>
          <w:i/>
        </w:rPr>
        <w:t xml:space="preserve">a) Giao thông:</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Giao thông công cộng: Xây dựng các tuyến xe buýtdọc theo các tuyến đường cấp khu vực trở lên, khoảng cách trạm 300-500m vàkhông quá 800m; không bố trí trạm xe buýt trước khi vào nút giao thông chính,cụ thể được thực hiện theo quy hoạch chuyên ngành.</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Các tuyến đường cấp đô thị và khu vực:</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Tuyến đường liên khu vực phía Tây Bắc (mặt cắt1-1): bề rộng mặt cắt ngang B=40m, bao gồm: lòng đường xe chạy 2x11,25m; dảiphân cách giữa rộng 3m; vỉa hè hai bên rộng 2x7,25m.</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Tuyến đường 70 (mặt cắt 2-2): bề rộng mặt cắt ngangB=30m, bao gồm: lòng đường xe chạy rộng 2x7,5m; dải phân cách giữa rộng 3m; vỉahè hai bên rộng 2x6m.</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Tuyến đường chính khu vực phía Đông Nam (mặt cắt1A-1A): bề rộng mặt cắt ngang B=40m, bao gồm: lòng đường xe chạy 2x11,25m; dảiphân cách giữa rộng 3m; vỉa hè hai bên rộng 2x7,25m.</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Tuyến đường chính khu vực (mặt cắt 3-3): bề rộngmặt cắt ngang B=27m, bao gồm: lòng đường xe chạy 2x7m; dải phân cách giữa rộng1m; vỉa hè hai bên rộng 2x6m.</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Tuyến đường khu vực phía Tây Nam (mặt cắt 4-4): bềrộng mặt cắt ngang B=21,5m, bao gồm: lòng đường xe chạy 11,5m; vỉa hè hai bênrộng 2x5m.</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Tuyến đường khu vực (mặt cắt 5-5): bề rộng mặt cắtngang B=17m, bao gồm: lòng đường xe chạy chính 7m; vỉa hè hai bên rộng 2x5m.</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Các tuyến đường cấp nội bộ:</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Tuyến đường phân khu vực (mặt cắt 6-6): bề rộng mặtcắt ngang B=21,5m, bao gồm: lòng đường xe chạy 7m kết hợp đỗ xe tạm thời; vỉahè hai bên rộng 2x4m.</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Tuyến đường phân khu vực (mặt cắt 7-7): bề rộng mặtcắt ngang B=13m, bao gồm: lòng đường xe chạy 7m; vỉa hè hai bên rộng 2x3m.</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Các tuyến đường vào nhà quy mô mặt cắt ngang &lt;13m,lòng đường="" tối="" thiểu="" 4m,="" đảm="" bảo="" yêu="" cầu="" về="" phòng="" cháy="" chữa=""&gt;</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Bãi đỗ xe:</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Các công trình xây dựng trong khu quy hoạch phải tựđảm bảo chỗ đỗ xe bản thân theo quy định.</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Xây dựng 03 bãi đỗ xe tập trung phục vụ nhu cầu đỗxe cho khu vực làng xóm, khách vãng lai và các hộ kinh doanh mặt đường, baogồm: bãi đỗ xe nổi (P1, P2) có diện tích khoảng 3.344m</w:t>
      </w:r>
      <w:r>
        <w:rPr>
          <w:vertAlign w:val="superscript"/>
        </w:rPr>
        <w:t xml:space="preserve">2</w:t>
      </w:r>
      <w:r>
        <w:t xml:space="preserve">, trong đóbãi đỗ xe P1 xây dựng 02 tầng với diện tích sàn đỗ xe khoảng 3.088m</w:t>
      </w:r>
      <w:r>
        <w:rPr>
          <w:vertAlign w:val="superscript"/>
        </w:rPr>
        <w:t xml:space="preserve">2</w:t>
      </w:r>
      <w:r>
        <w:t xml:space="preserve">;bãi đỗ xe ngầm (P3) tại ô quy hoạch CX13, diện tích khoảng 4.000 m</w:t>
      </w:r>
      <w:r>
        <w:rPr>
          <w:vertAlign w:val="superscript"/>
        </w:rPr>
        <w:t xml:space="preserve">2</w:t>
      </w:r>
      <w:r>
        <w:t xml:space="preserve"> x2 tầng.</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Các chỉ tiêu đạt được:</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Tổng diện tích khu vực nghiên cứu: 30,5152ha (100%)</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Diện tích đất giao thông: 9,84ha (32,26%)</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(tính đến đường phân khu vực)</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Mật độ mạng lưới đường: 11,94 km/km</w:t>
      </w:r>
      <w:r>
        <w:rPr>
          <w:vertAlign w:val="superscript"/>
        </w:rPr>
        <w:t xml:space="preserve">2</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Diện tích bãi đỗ xe: 1,29ha (4,2%).</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rPr>
          <w:i/>
        </w:rPr>
        <w:t xml:space="preserve">b) Chuẩn bị kỹ thuật</w:t>
      </w:r>
      <w:r>
        <w:t xml:space="preserve">:</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San nền:</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Cao độ san nền khu vực xây mới: Hmin=6,8m;Hmax=7,2m.</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Đối với các khu làng xóm hiện có: Chỉ san gạt cụcbộ tại một vài vị trí để đảm bảo yêu cầu quy hoạch. Các khu vực làng xóm có caođộ nền thấp hơn cao độ nền theo yêu cầu quy hoạch, sẽ từng bước cải tạo để đảmbảo yêu cầu quy hoạch.</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Thoát nước mưa:</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Xây dựng mới hệ thống cống thoát nước mưa riêng cókích thước D600mm- :-D1500mm và BxH=(1,5x1,5)m-:-(2,0x2,5)m dọc theo các tuyếnđường quy hoạch, thoát vào tuyến cống bản thoát nước chính của khu vực có kíchthước BxH=(5,0x2,5)m phía Đông Bắc khu quy hoạch để thoát ra sông Nhuệ.</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Đối với các khu làng xóm hiện có, cải tạo và xâydựng mới các tuyến rãnh thoát nước chung (nước mưa, nước thải) kích thướcB=0,3m-:-B=0,6m để thoát vào hệ thống thoát nước của khu quy hoạch, tránh úngngập.</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rPr>
          <w:i/>
        </w:rPr>
        <w:t xml:space="preserve">c) Cấp nước:</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Nguồn cấp: Từ Nhà máy nước ngầm Hà Đông số 1 vàNhà máy nước mặt sông Đà thông qua hệ thống mạng lưới cấp nước truyền dẫn chungcủa Thành phố.</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Tổng nhu cầu dùng nước trong khu quy hoạch trungbình là khoảng 2300m</w:t>
      </w:r>
      <w:r>
        <w:rPr>
          <w:vertAlign w:val="superscript"/>
        </w:rPr>
        <w:t xml:space="preserve">3</w:t>
      </w:r>
      <w:r>
        <w:t xml:space="preserve">/ng.đ.</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Mạng lưới cấp nước:</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Xây dựng tuyến truyền dẫn D300 trên đường 70 phíaĐông Bắc khu quy hoạch phù hợp định hướng Quy hoạch phân khu đô thị S4 đã đượcduyệt đảm bảo khớp nối với hệ thống cấp nước trong khu vực.</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Xây dựng các tuyến phân phối D200 trên đường quyhoạch phía Tây Bắc và Đông Nam khu quy hoạch; các tuyến D150 trên đường quyhoạch phía Tây Nam khu quy hoạch và tuyến đường có quy mô mặt cắt 27m trong khuquy hoạch; các tuyến phân phối D100 trên tuyến đường quy hoạch đảm bảo cấp nướctới từng ô đất trong khu quy hoạch và cấp nước chữa cháy.</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Xây dựng mạng lưới đường ống dịch vụ D50, D63, D75được đấu nối với đường ống phân phối và chạy dọc theo mạng lưới đường, dẫn nướcđến từng đối tượng sử dụng nước trong khu quy hoạch.</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Tại các công trình cao tầng, công trình công cộngtrong khu quy hoạch sẽ được bố trí bể chứa trạm bơm tăng áp riêng của mỗi côngtrình để đáp ứng nhu cầu cấp nước của công trình. Việc xác định vị trí, quy mô,công suất trạm bơm bể chứa này sẽ được thực hiện trong giai đoạn triển khai dựán đầu tư xây dựng.</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Cấp nước cứu hỏa:</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Dọc theo các tuyến đường có đường ống cấp nướcđường kính từ D100 trở lên sẽ bố trí các họng cứu hỏa, khoảng cách giữa cáchọng cứu hỏa theo quy định các họng cứu hỏa có thiết kế riêng đảm bảo yêu cầukỹ thuật chuyên ngành.</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Đối với các công trình, tùy theo tính chất của từngcông trình sẽ bố trí hệ thống chữa cháy riêng cho từng công trình.</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Hệ thống cấp nước cứu hỏa phải được sở Cảnh sátPhòng cháy và Chữa cháy của Thành phố thẩm định phê duyệt trước khi triển khaiđầu tư xây dựng.</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rPr>
          <w:i/>
        </w:rPr>
        <w:t xml:space="preserve">d) Cấp điện:</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Nguồn cấp: Từ các trạm biến áp 110/22KV Dương Nộicông suất đến năm 2020: 1x63MVA; năm 2030: 3x63MVA, thông qua các tuyến cápngầm 22KV bố trí dọc tuyến đường quy hoạch phía Tây Bắc, Tây Nam và Đông Namkhu quy hoạch. Chủ đầu tư phải liên hệ với các đơn vị quản lý các công trìnhđiện và cơ quan quản lý chuyên ngành để thuận nguồn cấp và di chuyển các tuyếnđường dây điện hiện có trong khu quy hoạch trước khi triển khai dự án đầu tưxây dựng.</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Tổng phụ của khu quy hoạch là khoảng 8370KW.</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Trạm biến áp hạ thế 22/0,4KV:</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Xây dựng 5 trạm biến áp 22/0,4KV với tổng công suấtkhoảng 12.600 KVA; kiểu trạm kín đảm bảo an toàn và mỹ quan (là trạm xây hoặctrạm kios hợp bộ) với quy mô công suất như sau: Trạm T-01: 2x800KVA; T-02:2x750KVA; T-03: 4x1250KVA; T-04: 2x1150KVA; Trạm tập thể đài phát tín2x1000KVA.</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Vị trí và quy mô công suất các trạm hạ thế 22/0,4KVsẽ được xác định cụ thể trong giai đoạn thực hiện dự án phù hợp với tổng mặtbằng các công trình xây dựng trong khu vực.</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Hệ thống lưới điện: Đi ngầm dọc theo hành langcác tuyến đường quy hoạch và khớp nối với hệ thống mạng lưới điện trong khu vực.</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Lưới điện trung thế 22KV đi ngầm dọc các tuyếnđường giao thông trong khu quy hoạch đấu nối với hệ thống mạng lưới cáp ngầm22KV trong khu vực để cấp nguồn cho các trạm 22/0,4KV trong khu quy hoạch vàkhu vực lân cận.</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Lưới hạ thế 0,4KV đi ngầm dọc các tuyến đường quyhoạch cấp từ trạm biến thế đến tủ điện tổng của từng công trình hoặc nhóm côngtrình. Tủ điện tổng đặt bên trong công trình hoặc ngoài trời, trên vỉa hè, tạiranh giới giữa 2 công trình.</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Cấp điện chiếu sáng:</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Lưới chiếu sáng được bố trí theo các tuyến giaothông và trong các khu vực cây xanh vườn hoa, thể dục thể thao được cấp nguồntừ các tủ phân phối trong khu vực. Đối với các tuyến đường có bề rộng ≥11,5mđược bố trí chiếu sáng hai bên, những tuyến có bề rộng &lt;11,5m được="" bố="" tríchiếu="" sáng="" một=""&gt;</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Nguồn chiếu sáng được lấy từ các trạm biến áp trongkhu vực.</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Tủ chiếu sáng dùng các chế độ đóng cắt tự động theothời gian và bằng tay.</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Chiếu sáng đường phố sử dụng đèn Sodium cao áp,công suất bóng 150W. Hè đường, khu vực công viên cây xanh, đường người đi bộ cóthể sử dụng các nguồn sáng linh hoạt như đèn MH 70W, LPS 55W CFL 42W, theo giảipháp cụ thể khi triển khai dự án đầu tư .</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rPr>
          <w:i/>
        </w:rPr>
        <w:t xml:space="preserve">e) Thông tin liên lạc:</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Nguồn cấp: Từ trạm vệ tinh VT4: 10.000 số bố trí ởphía Nam khu Quy hoạch (theo định hướng Quy hoạch phân khu đô thị S4 đã đượcduyệt). Khi triển khai dự án cần liên hệ với cơ quan quản lý chuyên ngành đểđược hướng dẫn thiết kế đấu nối mạng lưới thông tin liên lạc của khu quy hoạchvới hệ thống chung của khu vực. Tổng nhu cầu thông tin liên lạc sau điều chỉnhdự kiến là khoảng 4093 số.</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Xây dựng các tuyến cáp thông tin liên lạc dọc theohành lang các tuyến đường quy hoạch dẫn đến các tủ phân phối rồi tới từng côngtrình. Tùy theo tính chất sử dụng của từng loại công trình, kích thước cáctuyến cống bể được thiết kế với kích thước khác nhau.</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Các mạng thông tin không dây, công nghệ cao, mạngcáp truyền hình, ... được các nhà đầu tư thứ cấp nghiên cứu đầu tư ở giai đoạnsau, nhưng trên cơ sở phải căn cứ theo hệ thống tuyến và ống kỹ thuật mà giaiđoạn này đã thiết kế, đảm bảo tính đồng bộ và thống nhất.</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rPr>
          <w:i/>
        </w:rPr>
        <w:t xml:space="preserve">f) Thoát nước thải và Vệ sinh môi trường:</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Thoát nước thải:</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Xây dựng hệ thống thoát nước thải của khu quy hoạchlà hệ thống riêng với nước mưa, được thiết kế theo 02 giai đoạn:</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Giai đoạn trước mắt (khi hệ thống thoát nước thảicủa khu vực chưa xây dựng hoàn chỉnh): Xây dựng mới các tuyến cống thoát nướcthải kích thước D300mm-:-D600mm dọc theo các tuyến đường quy hoạch thu gom nướcthải của các công trình dân về trạm xử lý nước thải cục bộ của khu quy hoạch(công suất khoảng 2300m</w:t>
      </w:r>
      <w:r>
        <w:rPr>
          <w:vertAlign w:val="superscript"/>
        </w:rPr>
        <w:t xml:space="preserve">3</w:t>
      </w:r>
      <w:r>
        <w:t xml:space="preserve">/ngày.đêm dự kiến bố trí tại ô đất HTKT2,diện tích khoảng 1.311m</w:t>
      </w:r>
      <w:r>
        <w:rPr>
          <w:vertAlign w:val="superscript"/>
        </w:rPr>
        <w:t xml:space="preserve">2</w:t>
      </w:r>
      <w:r>
        <w:t xml:space="preserve">). Khi triển khai dự án đầu tư xây dựng trạmxử lý, chủ đầu tư phải sử dụng dây chuyền công nghệ hiện đại để đảm bảo điềukiện vệ sinh môi trường theo quy định và tiết kiệm đất.</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Giai đoạn lâu dài: (khi hệ thống thoát nước thảicủa khu vực xây dựng hoàn chỉnh): Chuyển đổi trạm xử lý nước thải cục bộ củakhu quy hoạch thành trạm bơm chuyển bậc, bơm nước thải của khu quy hoạch vàotuyến cống thoát nước thải D400mm của khu vực để dẫn về trạm xử lý nước thảiDương Nội của khu vực (phía Tây Nam khu quy hoạch).</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Vệ sinh môi trường:</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Đối với khu vực nhà cao tầng và công trình côngcộng: xây dựng hệ thống thu gom rác riêng cho từng đơn nguyên.</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Đối với khu vực nhà thấp tầng: Đặt các thùng rácnhỏ dọc theo các tuyến đường, khu cây xanh. Khoảng cách giữa các thùng rác là50m-80m/1 thùng.</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Bố trí nhà vệ sinh công cộng và điểm trung chuyểnrác tại khu vực cây xanh để phục vụ cho nhu cầu của khu quy hoạch.</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rPr>
          <w:i/>
        </w:rPr>
        <w:t xml:space="preserve">g) Chỉ giới đường đỏ, chỉ giới xây dựng và hànhlang bảo vệ các tuyến hạ tầng kỹ thuật:</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Chỉ giới đường đỏ được xác định trên cơ sở tọa độtim đường, mặt cắt ngang điển hình và các yếu tố kỹ thuật khống chế ghi trựctiếp trên bản vẽ.</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Chỉ giới xây dựng được xác định để đảm bảo các yêucầu về an toàn giao thông, phòng cháy chữa cháy và kiến trúc cảnh quan; chỉgiới xây dựng cụ thể của từng công trình được xác định theo cấp đường quy hoạchtheo quy định của Quy chuẩn xây dựng Việt Nam.</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Hành lang bảo vệ các tuyến hạ tầng kỹ thuật: Tuânthủ theo đúng Tiêu chuẩn quy phạm ngành và Quy chuẩn xây dựng Việt Nam.</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rPr>
          <w:i/>
        </w:rPr>
        <w:t xml:space="preserve">h) Đánh giá môi trường chiến lược:</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Phát triển đô thị phải tuân thủ quy hoạch đượcduyệt và các quy định hiện hành của Nhà nước và Thành phố về bảo vệ môi trường.Xác định các vấn đề môi trường chính: chất lượng không khí, giao thông và tiếngồn, đất, nước, cây xanh, nước ngầm, thu gom và xử lý nước thải, chất thải rắn;</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Tổng hợp, sắp xếp thứ tự ưu tiên các biện phápphòng ngừa, giảm thiểu, cải thiện các vấn đề môi trường trong đồ án quy hoạch;Đề xuất danh mục các dự án đầu tư xây dựng cần thực hiện đánh giá tác động môitrường.</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rPr>
          <w:i/>
        </w:rPr>
        <w:t xml:space="preserve">* Trong phạm vi khu quy hoạch nếu hiện trạng cócác công trình hạ tầng kỹ thuật (tuyến mương, tuyến điện...). Trong quá trìnhlập dự án đầu tư xây dựng, chủ đầu tư có trách nhiệm liên hệ với cơ quan chứcnăng quản lý các công trình hạ tầng kỹ thuật nêu trên để có giải pháp thay thế,hoàn trả, di chuyển phù hợp, đảm bảo không ảnh hưởng đến hoạt động sinh hoạt vàsản xuất của khu vực.</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5. Quy định quản lý:</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Việc quản lý quy hoạch đô thị, quản lý đất đai, đầutư xây dựng công trình cần tuân thủ quy hoạch và “Quy định quản lý theo Đồ ánQuy hoạch chi tiết Khu chức năng đô thị Tây Nam đường 70, tỷ lệ 1/500” được banhành kèm theo hồ sơ quy hoạch này. Ngoài ra còn phải tuân thủ các quy định hiệnhành của Nhà nước và Thành phố, Tiêu chuẩn, Quy chuẩn xây dựng Việt Nam.</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Việc điều chỉnh, thay đổi, bổ sung quy hoạch phảiđược thực hiện theo đúng quy định của pháp luật.</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Trong quá trình triển khai quy hoạch xây dựng cóthể áp dụng các Tiêu chuẩn, quy phạm nước ngoài và phải được cơ quan có thẩmquyền cho phép.</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6. Phân đợt đầu tư và các dựán ưu tiên:</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Trên cơ sở phương án quy hoạch, toàn bộ khu vựcnghiên cứu dự kiến phân kỳ đầu tư như sau:</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Xây dựng hệ thống hạ tầng kỹ thuật đồng bộ trênphạm vi nghiên cứu quy hoạch, bao gồm:</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Xây dựng hệ thống đường giao thông nội bộ, khớpnối với hệ thống giao thông chung khu vực và với các dự án lân cận, xây dựngcác bãi đỗ xe tập trung phục vụ khu vực.</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Xây dựng đồng bộ hệ thống hạ tầng kỹ thuật như hệthống trạm và đường dây cấp điện, đường ống cấp nước, hệ thống cống thoát nướcthải, trạm xử lý nước thải cục bộ, hệ thống ống thoát nước mưa.</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Xây dựng các hạng mục công trình kiến trúc baogồm: Các công trình nhà ở thấp tầng; Các công trình dịch vụ công cộng; Các côngtrình trường học, nhà trẻ. Thứ tự từng hạng mục dự án đầu tư xây dựng côngtrình sẽ được cụ thể trong quá trình lập dự án đầu tư xây dựng được cấp thẩmquyền phê duyệt.</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Xây dựng hệ thống cây xanh, bao gồm cây xanh dọccác trục đường giao thông, cây xanh cảnh quan sân vườn trong các lô đất biệtthự, cây xanh sân vườn trong các lô đất dịch vụ công cộng.</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Điều 2. Tổ chức thực hiện:</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Giám đốc Sở Quy hoạch - Kiến trúc và Viện Quyhoạch xây dựng Hà Nội chịu trách nhiệm về số liệu trình duyệt của đồ án.</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Giao Sở Quy hoạch - Kiến trúc kiểm tra, xác nhậnhồ sơ, bản vẽ và Quy định quản lý theo đồ án Quy hoạch chi tiết Khu chức năngđô thị Tây Nam đường 70, tỷ lệ 1/500 phù hợp với nội dung Quyết định này; Chủtrì phối hợp với UBND quận Nam Từ Liêm và Công ty cổ phần thương mại Ngôi nhàmới tổ chức công bố công khai nội dung đồ án quy hoạch này để các cơ quan, tổchức và nhân dân được biết, thực hiện; lưu trữ hồ sơ theo quy định.</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Chủ tịch UBND quận Nam Từ Liêm và Thanh tra SởXây dựng có trách nhiệm kiểm tra, giám sát xây dựng theo quy hoạch, xử lý cáctrường hợp xây dựng sai quy hoạch theo thẩm quyền và quy định của pháp luật.</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Quy hoạch chi tiết Khu chức năng đô thị Tây Namđường 70, tỷ lệ 1/500 được duyệt là cơ sở để triển khai thực hiện Dự án đối ứng(xác định quỹ đất đối ứng) theo hình thức hợp đồng Xây dựng - Chuyển giao (BT)của Dự án cải tạo và xây dựng hệ thống cống nối thông hồ Vục, hồ Đầu Băng và hồTư Đình, quận Long Biên đã được UBND Thành phố chấp thuận điều chỉnh tại Quyếtđịnh số 3815/QĐ-UBND ngày 10/8/2015, tuân thủ các quy định hiện hành của Nhànước và của thành phố Hà Nội; Ngoài diện tích quỹ đất đối ứng đảm bảo cân đốivốn cho dự án nêu trên, các quỹ đất còn lại theo quy hoạch khi triển khai thựchiện dự án phải đảm bảo tuân thủ luật định và các quy định hiện hành.</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Điều 3. Quyết định này có hiệu lực thực hiện kể từ ngày ký.</w:t>
      </w:r>
    </w:p>
    <w:p>
      <w:pPr>
        <w:pStyle w:val="Normal(Web)"/>
        <w:divId w:val="2"/>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Chánh Văn phòng UBND Thành phố; Giám đốc các Sở:Quy hoạch - Kiến trúc, Xây dựng, Tài nguyên và môi trường, Kế hoạch và Đầu tư,Tài chính, Giao thông vận tải, Công Thương; Viện trưởng Viện Quy hoạch xây dựngHà Nội; Chủ tịch UBND các quận: Nam Từ Liêm, Long Biên; Chủ tịch UBND phườngĐại Mỗ; Tổng Giám đốc Công ty Cổ phần thương mại Ngôi nhà mới; Thủ trưởng cácSở, Ban, Ngành, các tổ chức, cơ quan và cá nhân có liên quan chịu trách nhiệmthực hiện Quyết định này./.</w:t>
      </w:r>
    </w:p>
    <w:tbl>
      <w:tblPr>
        <w:tblStyle w:val="TableNorm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600" w:firstRow="0" w:lastRow="0" w:firstColumn="0" w:lastColumn="0" w:noHBand="1" w:noVBand="1"/>
      </w:tblPr>
      <w:tblGrid/>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rPr>
                <w:b/>
                <w:i/>
              </w:rPr>
              <w:t xml:space="preserve">Nơi nhận:</w:t>
            </w:r>
            <w:r>
              <w:rPr>
                <w:b/>
                <w:i/>
              </w:rPr>
              <w:br/>
            </w:r>
            <w:r>
              <w:t xml:space="preserve">- </w:t>
            </w:r>
            <w:r>
              <w:t xml:space="preserve">Như Điều 3;</w:t>
            </w:r>
            <w:r>
              <w:rPr/>
              <w:br/>
            </w:r>
            <w:r>
              <w:t xml:space="preserve">- Chủ tịch UBND Thành phố;</w:t>
            </w:r>
            <w:r>
              <w:rPr/>
              <w:br/>
            </w:r>
            <w:r>
              <w:t xml:space="preserve">- Các Phó chủ tịch UBND TP;</w:t>
            </w:r>
            <w:r>
              <w:rPr/>
              <w:br/>
            </w:r>
            <w:r>
              <w:t xml:space="preserve">- VPUBND: CVP, các PCVP;</w:t>
            </w:r>
            <w:r>
              <w:rPr/>
              <w:br/>
            </w:r>
            <w:r>
              <w:t xml:space="preserve">- Các phòng; TH, XDGT, QHKT;</w:t>
            </w:r>
            <w:r>
              <w:rPr/>
              <w:br/>
            </w:r>
            <w:r>
              <w:t xml:space="preserve">- Lưu VT (35 bản), QH</w:t>
            </w:r>
            <w:r>
              <w:rPr>
                <w:vertAlign w:val="subscript"/>
              </w:rPr>
              <w:t xml:space="preserve">AI</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TM. ỦY BAN NHÂN DÂN</w:t>
            </w:r>
            <w:r>
              <w:rPr>
                <w:b/>
              </w:rPr>
              <w:br/>
            </w:r>
            <w:r>
              <w:rPr>
                <w:b/>
              </w:rPr>
              <w:t xml:space="preserve">CHỦ TỊCH</w:t>
            </w:r>
            <w:r>
              <w:rPr>
                <w:b/>
              </w:rPr>
              <w:br/>
            </w:r>
            <w:r>
              <w:rPr>
                <w:b/>
              </w:rPr>
              <w:br/>
            </w:r>
            <w:r>
              <w:rPr>
                <w:b/>
              </w:rPr>
              <w:br/>
            </w:r>
            <w:r>
              <w:rPr>
                <w:b/>
              </w:rPr>
              <w:br/>
            </w:r>
            <w:r>
              <w:rPr>
                <w:b/>
              </w:rPr>
              <w:br/>
            </w:r>
            <w:r>
              <w:rPr>
                <w:b/>
              </w:rPr>
              <w:t xml:space="preserve">Nguyễn Thế Thảo</w:t>
            </w:r>
          </w:p>
        </w:tc>
      </w:tr>
    </w:tbl>
    <w:p>
      <w:pPr/>
    </w:p>
    <w:sectPr>
      <w:headerReference w:type="default" r:id="rId7"/>
      <w:footerReference w:type="default" r:id="rId8"/>
      <w:pgSz w:w="11907" w:h="16839" w:orient="portrait"/>
      <w:pgMar w:top="1440" w:right="1440" w:bottom="1440" w:left="1440" w:header="800" w:footer="800" w:gutter="0"/>
    </w:sectPr>
  </w:body>
</w:document>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r>
      <w:rPr>
        <w:rFonts w:ascii="Times New Roman" w:eastAsia="Times New Roman" w:hAnsi="Times New Roman" w:cs="Times New Roman"/>
        <w:b/>
        <w:color w:val="0000FF"/>
        <w:sz w:val="28"/>
      </w:rPr>
      <w:t xml:space="preserve">LUẬT SƯ TƯ VẤN PHÁP LUẬT 24/7 GỌI </w:t>
    </w:r>
    <w:r>
      <w:rPr>
        <w:rFonts w:ascii="Times New Roman" w:eastAsia="Times New Roman" w:hAnsi="Times New Roman" w:cs="Times New Roman"/>
        <w:b/>
        <w:color w:val="FF0000"/>
        <w:sz w:val="28"/>
      </w:rPr>
      <w:t xml:space="preserve">1900 6162</w:t>
    </w:r>
  </w:p>
</w:ftr>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r>
      <w:rPr>
        <w:rFonts w:ascii="Arial" w:eastAsia="Arial" w:hAnsi="Arial" w:cs="Arial"/>
        <w:b/>
        <w:color w:val="A52A2A"/>
        <w:sz w:val="24"/>
      </w:rPr>
      <w:t xml:space="preserve">Công ty luật Minh Khuê</w:t>
      <w:tab/>
      <w:tab/>
      <w:tab/>
      <w:tab/>
      <w:tab/>
      <w:tab/>
    </w:r>
    <w:r>
      <w:rPr>
        <w:rFonts w:ascii="Arial" w:eastAsia="Arial" w:hAnsi="Arial" w:cs="Arial"/>
        <w:b w:val="0"/>
        <w:color w:val="0000FF"/>
        <w:sz w:val="24"/>
        <w:u w:val="single"/>
      </w:rPr>
      <w:t xml:space="preserve">www.luatminhkhue.vn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3">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view w:val="web"/>
  <w:zoom w:percent="100"/>
  <w:bordersDoNotSurroundFooter w:val="0"/>
  <w:bordersDoNotSurroundHeader w:val="0"/>
  <w:doNotTrackMoves/>
  <w:documentProtection w:edit="trackedChanges" w:enforcement="0"/>
  <w:defaultTabStop w:val="720"/>
  <w:characterSpacingControl w:val="doNotCompress"/>
  <w:compat>
    <w:doNotExpandShiftReturn/>
    <w:doNotSnapToGridInCell/>
    <w:doNotWrapTextWithPunct/>
    <w:doNotUseEastAsianBreakRules/>
    <w:growAutofit/>
    <w:useFELayout/>
    <w:compatSetting w:name="compatibilityMode" w:uri="http://schemas.microsoft.com/office/word" w:val="12"/>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sz w:val="24"/>
      <w:szCs w:val="24"/>
      <w:lang w:val="en-US" w:eastAsia="uk-UA" w:bidi="ar-SA"/>
    </w:rPr>
  </w:style>
  <w:style w:type="paragraph" w:styleId="Normal(Web)">
    <w:name w:val="Normal (Web)"/>
    <w:basedOn w:val="Normal"/>
    <w:qFormat/>
    <w:rPr>
      <w:sz w:val="24"/>
    </w:rPr>
  </w:style>
  <w:style w:type="character" w:styleId="Hyperlink">
    <w:name w:val="Hyperlink"/>
    <w:rPr>
      <w:color w:val="0000FF"/>
      <w:u w:val="single"/>
    </w:rPr>
  </w:style>
  <w:style w:type="table" w:default="1" w:styleId="TableNormal">
    <w:name w:val="Normal Table"/>
    <w:uiPriority w:val="99"/>
    <w:semiHidden/>
    <w:unhideWhenUsed/>
    <w:qFormat/>
    <w:rPr/>
    <w:tblPr>
      <w:tblInd w:w="0" w:type="dxa"/>
      <w:tblCellMar>
        <w:top w:w="0" w:type="dxa"/>
        <w:left w:w="108" w:type="dxa"/>
        <w:bottom w:w="0" w:type="dxa"/>
        <w:right w:w="108" w:type="dxa"/>
      </w:tblCellMar>
    </w:tblPr>
  </w:style>
  <w:style w:type="table" w:styleId="TableGrid">
    <w:name w:val="Table Grid"/>
    <w:basedOn w:val="TableNorm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
      <w:marLeft w:val="0"/>
      <w:marRight w:val="0"/>
      <w:marTop w:val="-20"/>
      <w:marBottom w:val="-20"/>
      <w:divBdr>
        <w:top w:val="none" w:sz="0" w:space="0" w:color="auto"/>
        <w:left w:val="none" w:sz="0" w:space="0" w:color="auto"/>
        <w:bottom w:val="none" w:sz="0" w:space="0" w:color="auto"/>
        <w:right w:val="none" w:sz="0" w:space="0" w:color="auto"/>
      </w:divBdr>
      <w:divsChild>
        <w:div w:id="2">
          <w:marLeft w:val="0"/>
          <w:marRight w:val="0"/>
          <w:marTop w:val="-20"/>
          <w:marBottom w:val="-20"/>
          <w:divBdr>
            <w:top w:val="none" w:sz="0" w:space="0" w:color="auto"/>
            <w:left w:val="none" w:sz="0" w:space="0" w:color="auto"/>
            <w:bottom w:val="none" w:sz="0" w:space="0" w:color="auto"/>
            <w:right w:val="none" w:sz="0" w:space="0" w:color="auto"/>
          </w:divBdr>
          <w:divsChild>
            <w:div w:id="3">
              <w:marLeft w:val="0"/>
              <w:marRight w:val="0"/>
              <w:marTop w:val="-20"/>
              <w:marBottom w:val="-20"/>
              <w:divBdr>
                <w:top w:val="none" w:sz="0" w:space="0" w:color="auto"/>
                <w:left w:val="none" w:sz="0" w:space="0" w:color="auto"/>
                <w:bottom w:val="none" w:sz="0" w:space="0" w:color="auto"/>
                <w:right w:val="none" w:sz="0" w:space="0" w:color="auto"/>
              </w:divBdr>
            </w:div>
          </w:divsChild>
        </w:div>
      </w:divsChild>
    </w:div>
  </w:divs>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styles" Target="styles.xml" /><Relationship Id="rId11" Type="http://schemas.openxmlformats.org/officeDocument/2006/relationships/webSettings" Target="webSettings.xml" /><Relationship Id="rId12" Type="http://schemas.openxmlformats.org/officeDocument/2006/relationships/numbering" Target="numbering.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hyperlink" Target="/luat-to-chuc-hoi-dong-nhan-dan-va-uy-ban-nhan-dan-so-11-2003-qh11-cua-quoc-hoi.aspx" TargetMode="External" /><Relationship Id="rId4" Type="http://schemas.openxmlformats.org/officeDocument/2006/relationships/hyperlink" Target="/luat-thu-do-so-25-2012-qh13.aspx" TargetMode="External" /><Relationship Id="rId5" Type="http://schemas.openxmlformats.org/officeDocument/2006/relationships/hyperlink" Target="/luat-nha-o-so-65-2014-qh13.aspx" TargetMode="External" /><Relationship Id="rId6" Type="http://schemas.openxmlformats.org/officeDocument/2006/relationships/hyperlink" Target="/thong-tu-so-06-2013-tt-bxd-cua-bo-xay-dung---huong-dan-ve-noi-dung-thiet-ke-do-thi.aspx" TargetMode="Externa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2022-06-22T10:03:53Z</dcterms:created>
  <dcterms:modified xsi:type="dcterms:W3CDTF">2022-06-22T10:03:53Z</dcterms:modified>
</cp:coreProperties>
</file>

<file path=customXml/item2.xml><?xml version="1.0" encoding="utf-8"?>
<Properties xmlns:vt="http://schemas.openxmlformats.org/officeDocument/2006/docPropsVTypes" xmlns="http://schemas.openxmlformats.org/officeDocument/2006/extended-properties">
  <Application>Spire.Doc</Application>
  <AppVersion>12.0000</AppVersion>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Application>Spire.Doc</Application>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Công ty Luật Minh Khuê</dc:creator>
  <dc:description>Xem chi tiết và tải về văn bản tại website https://luatminhkhue.vn</dc:description>
  <cp:revision>1</cp:revision>
  <dcterms:created xsi:type="dcterms:W3CDTF">2022-06-22T10:03:53Z</dcterms:created>
  <dcterms:modified xsi:type="dcterms:W3CDTF">2022-06-22T10:03:53Z</dcterms:modified>
</cp:coreProperties>
</file>