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30/2001/QĐ-BTC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4 năm 2001</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Chế độ in, phát hành, quản lý, sử dụng ấn chỉ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15/CP ngày 2/3/1993 của Chính phủ quy định nhiệm vụ quyền hạn và trách nhiệm quản lý Nhà nước của Bộ, cơ quan ngang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178/CP ngày 28/10/1994 của Chính phủ quy định chức năng, nhiệm vụ và tổ chức bộ máy của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các luật thuế, pháp lệnh Kế toán thống kê thuế.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04/1999/NĐ-CP </w:t>
        </w:r>
      </w:hyperlink>
      <w:r>
        <w:rPr>
          <w:i/>
        </w:rPr>
        <w:t xml:space="preserve"> ngày 30/01/1999 của Chính phủ về phí, lệ phí thuộc Ngân sách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Nay ban hành kèm theo quyết định này Chế độ in, phát hành, quản lý, sử dụng ấn chỉ thuế - Gọi tắt là "Chế độ quản lý, sử dụng ấn chỉ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Chế độ này áp dụng thống nhất trong việc quản lý thu thuế, thu phí, lệ phí của nhà nước trong phạm vi cả nước từ ngày 01/7/2001, thay thế Chế độ Quản lý ấn chỉ ban hành kèm theo Quyết định số 529 TC/QĐ ngày 22/12/1992 của Bộ trưởng Bộ Tàì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Bộ Tài chính, Tổng cục trưởng Tổng cục Thuế, Vụ trưởng Vụ Chế độ Kế toán, Tổng giám đốc Kho Bạc nhà nước, Cục trưởng Cục Thuế các tỉnh, thành phố trực thuộc TW, các tổ chức, cá nhân quản lý, sử dụng ấn chỉ thuế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Văn Ninh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04-1999-nd-cp-phi--le-phi-thuoc-ngan-sach-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2022-06-22T10:30:55Z</dcterms:created>
  <dcterms:modified xsi:type="dcterms:W3CDTF">2022-06-22T10:30:55Z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2022-06-22T10:30:55Z</dcterms:created>
  <dcterms:modified xsi:type="dcterms:W3CDTF">2022-06-22T10:30:55Z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2022-06-22T10:30:55Z</dcterms:created>
  <dcterms:modified xsi:type="dcterms:W3CDTF">2022-06-22T10:30:55Z</dcterms:modified>
</cp:coreProperties>
</file>