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THỦ TƯỚNG CHÍNH PHỦ</w:t>
            </w:r>
          </w:p>
          <w:p>
            <w:pPr>
              <w:pStyle w:val="Normal(Web)"/>
              <w:divId w:val="2"/>
              <w:jc w:val="center"/>
              <w:rPr>
                <w:vanish w:val="0"/>
              </w:rPr>
            </w:pPr>
            <w:r>
              <w:t xml:space="preserve">Số: 25/2006/QĐ-TTg </w:t>
            </w:r>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26 tháng 1 năm 2006</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Về việc ban hành Chương trình hành động của Chính phủ về thực hành tiết kiệm, chống lãng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________________________________________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THỦ TƯỚNG CHÍNH PHỦ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Luật Tổ chức Chính phủ ngày 25 tháng 12 năm 2001;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Nghị quyết số 17/2005/NQ-CP ngày 29 tháng 12 năm 2005 của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Xét đề nghị của Bộ trưởng Bộ Tài chính</w:t>
      </w:r>
      <w: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Ban hành kèm theo Quyết định này Chương trình hành động của Chính phủ về thực hành tiết kiệm, chống lãng phí.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 Quyết định này có hiệu lực sau 15 ngày, kể từ ngày đăng Công báo.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rPr>
          <w:b/>
        </w:rPr>
        <w:t xml:space="preserve">. </w:t>
      </w:r>
      <w:r>
        <w:t xml:space="preserve">Các</w:t>
      </w:r>
      <w:r>
        <w:t xml:space="preserve"> Bộ trưởng, Thủ trưởng cơ quan ngang Bộ, Thủ trưởng cơ quan thuộc Chính phủ, Chủ tịch Ủy ban nhân dân các tỉnh, thành phố trực thuộc Trung ương và Tổng Giám đốc Tổng công ty nhà nước (giám đốc công ty nhà nước) chịu trách nhiệm thi hành Quyết định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tướng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Phan Văn Khải</w:t>
            </w:r>
          </w:p>
        </w:tc>
      </w:tr>
    </w:tbl>
    <w:p>
      <w:pP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2022-06-20T23:12:48Z</dcterms:created>
  <dcterms:modified xsi:type="dcterms:W3CDTF">2022-06-20T23:12:48Z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2022-06-20T23:12:48Z</dcterms:created>
  <dcterms:modified xsi:type="dcterms:W3CDTF">2022-06-20T23:12:48Z</dcterms:modified>
</cp:coreProperties>
</file>