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THỦ TƯỚNG CHÍNH PHỦ</w:t>
            </w:r>
          </w:p>
          <w:p>
            <w:pPr>
              <w:pStyle w:val="Normal(Web)"/>
              <w:divId w:val="2"/>
              <w:jc w:val="center"/>
              <w:rPr>
                <w:vanish w:val="0"/>
              </w:rPr>
            </w:pPr>
            <w:r>
              <w:t xml:space="preserve">Số: 233/2005/QĐ-TTg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26 tháng 9 năm 2005</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việc quy định chế độ phụ cấp trách nhiệm theo nghề đối với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Chấp hành viên và Công chứng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204 / 2004/NĐ-CP ngày 14 tháng 12 năm 2004 của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phủ về chế độ tiền lương đối với cán bộ, công chức, viên chức, các đối tượng thuộc quân đội nhân dân và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Xét đề nghị của Bộ trưởng Bộ Tư pháp, Bộ trưởng Bộ Nội vụ, Bộ trưởng Bộ Tài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Đối tượng và phạm vi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Chế độ phụ cấp trách nhiệm theo nghề quy định tại Quyết định này được áp dụng đối với một số chức danh tư pháp làm việc tại cơ quan thi hành án dân sự và cơ quan Công chứng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được hưởng chế độ phụ cấp trách nhiệm theo nghề quy định tại Quyết định này bao gồm: Chấp hành viên cơ quan thi hành án dân sự tỉnh, thành phố trực thuộc Trung ương (sau đây gọi chung là Chấp hành viên cấp tỉnh), Chấp hành viên cơ quan thi hành án dân sự huyện, quận, thị xã, thành phố thuộc tỉnh (sau đây gọi chung là Chấp hành viên cấp huyện) và Công chứng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Chấp hành viên Thi hành án các quân khu và quân chủng Hải quân không thuộc đối tượng được hưởng chế độ phụ cấp trách nhiệm theo nghề quy định tại Quyết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 Mức phụ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Chế độ phụ cấp trách nhiệm theo nghề đối với Chấp hành viên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Mức 25% áp dụng đối với Chấp hành viên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Mức 30% áp dụng đối với Chấp hành viên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Chế độ phụ cấp trách nhiệm theo nghề đối với Công chứng viên được quy định như sau: mức 15% áp dụng đối với Công chứng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mức phụ cấp trách nhiệm theo nghề được tính trên mức lương theo ngạch, bậc hiện hưởng cộng phụ cấp chức vụ lãnh đạo và phụ cấp thâm niên vượt khung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Nguồn kinh phí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Nguồn kinh phí thực hiện chế độ phụ cấp trách nhiệm theo nghề đối với Chấp hành viên được bố trí trong dự toán ngân sách hàng năm của Bộ Tư pháp theo quy định của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Nguồn kinh phí thực hiện chế độ phụ cấp trách nhiệm theo nghề đối với Công chứng viên được bố trí trong dự toán ngân sách địa phương hàng năm theo quy định của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w:t>
      </w:r>
      <w:r>
        <w:t xml:space="preserve">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Quyết định này có hiệu lực sau 15 ngày, kể từ ngày đăng Công báo và thay thế Quyết định số 76/2001/QĐ-TTg ngày 14 tháng 5 năm 2001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Chế độ phụ cấp trách nhiệm theo nghề đối với Chấp hành viên được áp dụng kể từ ngày 01 tháng 10 năm 2004.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Chế độ phụ cấp trách nhiệm theo nghề đối với Công chứng viên được áp dụng kể từ ngày Quyết định này có hiệu lực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w:t>
      </w:r>
      <w:r>
        <w:t xml:space="preserve"> Hướng dẫn và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Tư pháp chủ trì, phối hợp với Bộ Nội vụ, Bộ Tài chính chịu trách nhiệm hướng dẫn thực hiện Quyết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Bộ trưởng, Thủ trưởng cơ quan ngang Bộ, Thủ trưởng cơ quan thuộc Chính phủ, Chủ tịch ủy ban nhân dân tỉnh, thành phố trực thuộc Trung ương chịu trách nhiệm thi hành Quyết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2022-06-21T15:40:35Z</dcterms:created>
  <dcterms:modified xsi:type="dcterms:W3CDTF">2022-06-21T15:40:35Z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2022-06-21T15:40:35Z</dcterms:created>
  <dcterms:modified xsi:type="dcterms:W3CDTF">2022-06-21T15:40:35Z</dcterms:modified>
</cp:coreProperties>
</file>