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150/2007/QĐ-TTg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10 tháng 9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Phê duyệt Quy hoạch phát triển ngành vật liệu nổ công nghiệp Việt Nam đến năm 2015, định hướng đến năm 2025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w:t>
      </w:r>
      <w:r>
        <w:t xml:space="preserve">Bộ Công nghiệp (nay là Bộ Công thương) tại tờ trình số 3514/TTr-BCN ngày 27 tháng 7 năm 2007,</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Phê duyệt Quy hoạch phát triển ngành vật liệu nổ công nghiệp (VLNCN) Việt Nam đến năm 2015, định hướng đến năm 2025 với nội dung chủ yếu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Quan điểm phát triển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Vật liệu nổ công nghiệp là hàng hoá, dịch vụ hạn chế kinh doanh do Nhà nước thống nhất quản lý. Quy hoạch phát triển ngành vật liệu nổ công nghiệp phải phù hợp với quy hoạch tổng thể phát triển công nghiệp Việt Nam, quy hoạch phát triển kinh tế - xã hội các địa phương, đáp ứng yêu cầu của nền kinh tế quốc dân về vật liệu nổ công nghiệp và xuất khẩu trong khu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Xây dựng và phát triển ngành vật liệu nổ công nghiệp trở thành một ngành công nghiệp tiên tiến từ khâu sản xuất nguyên liệu cơ bản đến khâu sản xuất vật liệu nổ công nghiệp, cung ứng và phục vụ dịch vụ nổ hoàn chỉnh, đảm bảo các yêu cầu an toàn, tiện dụng, hiệu quả, bảo vệ môi trường sinh thái và đảm bảo trật tự an toàn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r>
        <w:t xml:space="preserve"> Đầu tư chiều sâu, khai thác tối đa năng lực hiện có của các cơ sở sản xuất vật liệu nổ công nghiệp và các Trung tâm nghiên cứu. Phát huy nội lực, kết hợp chặt chẽ với các ngành công nghiệp hoá chất và quốc phòng, các lực lượng khoa học và công nghệ của đất nước tham gia nghiên cứu để phát triển ngành vật liệu nổ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r>
        <w:t xml:space="preserve"> Mở rộng hợp tác quốc tế, nghiên cứu áp dụng công nghệ tiên tiến, hiện đại của thế giới trong lĩnh vực sản xuất, sử dụng và dịch vụ nổ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Kết hợp chặt chẽ kinh tế với quốc phòng, quốc phòng với kinh tế trong việc phát triển ngành vật liệu nổ công nghiệp, nhằm hoàn thành tốt cả 2 nhiệm vụ xây dựng kinh tế và bảo vệ Tổ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Mục tiêu phát triển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Hoàn thiện, hiện đại hoá dây chuyền sản xuất thuốc nổ nhũ tương hiện có, từng bước loại bỏ dần các loại thuốc nổ truyền thống (trong thành phần có TNT) để sau năm 2010 chỉ sử dụng không quá 5% đến 10% ở những nơi có điều kiện cho phép, kể cả sử dụng vật liệu nổ công nghiệp tái chế từ vật liệu nổ phế thải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Đầu tư sản xuất thuốc nổ nhũ tương rời, nhũ tương an toàn chịu nước, sức công phá mạnh cho các mỏ hầm lò có khí Metan và bụi nổ. Nghiên cứu đầu tư sản xuất một số chủng loại thuốc nổ và phụ kiện nổ phục vụ ngành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Đầu tư sản xuất Nitrat amôn (NH4NO3) là nguyên liệu chủ yếu sản xuất thuốc nổ, chủ động cung ứng cho các cơ sở sản xuất thuốc nổ. Đầu tư sản xuất một số loại nguyên liệu khác để sản xuất phụ kiện nổ.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Tổ chức sản xuất vật liệu nổ công nghiệp, mạng lưới kinh doanh, dịch vụ nổ mìn có chuyên môn hóa cao, đáp ứng kịp thời đối với các hộ tiêu thụ, đảm bảo trật tự, an toàn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Đẩy mạnh công tác đào tạo nguồn nhân lực và hoàn thiện cơ chế, chính sách quản lý nhà nước đối với ngành vật liệu nổ công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Quy hoạch phát triển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Nhu cầu tiêu thụ vật liệu nổ công nghiệp năm 2007 khoảng 98.500 tấn; đến năm 2010 khoảng 120.000 tấn; từ năm 2015 đến năm 2025 tăng dần từ 150.000 tấn thuốc nổ/năm đến khoảng 180.000 tấn thuốc nổ/năm.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Mức sản xuất vật liệu nổ công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Để đáp ứng đủ về số lượng và chủng loại vật liệu nổ công nghiệp cho nhu cầu trong nước với giả cả hợp lý và có một phần xuất khẩu, dự kiến mức sản xuất vật liệu nổ công nghiệp các năm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Đến năm 2010: tăng dần đến khoảng 120.000 tấn thuốc nổ/năm.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Từ năm 2011 đến năm 2015: tăng dần đến khoảng 150.000 tấn thuốc nổ/năm.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Từ năm 2016 đến năm 2025: tăng dần đến khoảng 180.000 tấn thuốc nổ/năm.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Kế hoạch phát triển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Giai đoạn 2007-2015: đẩy nhanh việc đầu tư sản xuất Nitrat amôn, thuốc nổ nhũ tương an toàn hầm lò, nhũ tương rời, vật liệu nổ cho ngành Dầu khí, nâng cấp chất lượng các loại thuốc nổ và phụ kiện nổ hiện có.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Giai đoạn 2016-2025: đầu tư thay đổi công nghệ, nâng cấp chất lượng vật liệu nổ công nghiệp; quy mô và tiến độ đầu tư các dự án tuỳ theo tình hình thực tế của giai đoạn 2007-20</w:t>
      </w:r>
      <w:r>
        <w:rPr>
          <w:i/>
        </w:rPr>
        <w:t xml:space="preserve">1</w:t>
      </w:r>
      <w:r>
        <w:t xml:space="preserve">5 sẽ được điều chỉnh cho phù hợp</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(Danh mục các dự án đầu tư có Phụ lục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w:t>
      </w:r>
      <w:r>
        <w:t xml:space="preserve">) Vốn đầu tư</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Tổng vốn đầu tư phát triển ngành vật liệu nổ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Ư</w:t>
      </w:r>
      <w:r>
        <w:t xml:space="preserve">ớc tính nhu cầu vốn đầu tư đến năm 2025 khoảng 1.794 tỷ đồng, 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 </w:t>
      </w:r>
      <w:r>
        <w:t xml:space="preserve">Giai đoạn 2007-2015 khoảng 1.294 tỷ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 </w:t>
      </w:r>
      <w:r>
        <w:t xml:space="preserve">Giai đoạn 2016-2025 khoảng 500 tỷ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Nguồn vốn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 </w:t>
      </w:r>
      <w:r>
        <w:t xml:space="preserve">Vốn vay và các nguồn vốn khác để đầu tư theo danh mục các dự án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 </w:t>
      </w:r>
      <w:r>
        <w:t xml:space="preserve">Vốn ngân sách nhà nước cho các công tác điều chỉnh Quy hoạch, nghiên cứu ứng dụng, chế tạo thử nghiệm và dự trữ quốc gia vật liệu nổ công nghiệp, thực hiện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r>
        <w:rPr>
          <w:i/>
        </w:rPr>
        <w:t xml:space="preserve">. </w:t>
      </w:r>
      <w:r>
        <w:t xml:space="preserve">Bộ Công thương, với chức năng quản lý nhà nước về vật liệu nổ công nghiệp, có trách nhiệm chỉ đạo thực hiện Quy hoạch. Tổ chức danh giá việc thực hiện Quy hoạch, đề xuất điều chỉnh Quy hoạch cho phù hợp với tình hình thực tế; phối hợp với các Bộ, ngành liên quan nghiên cứu, hoàn thiện các văn bản quy phạm pháp luật và cơ chế chính sách để phát triển ngành vật liệu nổ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Công thương phối hợp với Bộ Quốc phòng chỉ đạo các doanh nghiệp sản xuất vật liệu nổ công nghiệp đáp ứng đủ cho nhu cầu của nền kinh tế quốc dân; nghiên cứu, tiếp thu công nghệ để sản xuất vật liệu nổ công nghiệp phục vụ cho ngành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Kế hoạch và Đầu tư, Bộ Tài chính phối hợp với các Bộ, ngành liên quan nghiên cứu chính sách hỗ trợ, cân đối, bố trí nguồn vốn ngân sách nhà nước cho các công tác điều chỉnh Quy hoạch, nghiên cứu ứng dụng, chế tạo thử nghiệm và dự trữ quốc gia vật liệu nổ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Khoa học và Công nghệ phối hợp với Bộ Công thương và Bộ Quốc phòng chỉ đạo hoạt động nghiên cứu khoa học công nghệ trong ngành vật liệu nổ công nghiệp, tiếp thu và tổ chức triển khai ứng dụng khoa học, kỹ thuật tiên tiến của khu vực và thế giới để phát triển ngành vật liệu nổ công nghiệp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Bộ Công an phối hợp với các Bộ, ngành có liên quan chỉ đạo việc đảm bảo về an ninh trật tự, phòng chống cháy nổ trong sản xuất, kinh doanh, vận chuyển, sử dụng, bảo quản vật liệu nổ công nghiệp và chống buôn bán trái phép vật liệu nổ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Bộ Lao động - Thương binh và Xã hội phối hợp với các Bộ, ngành liên quan nghiên cứu bổ sung, sửa đổi chế độ chính sách đối với người lao động trong ngành vật liệu nổ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Ủy ban nhân dân các tỉnh, thành phố trực thuộc Trung ương, căn cứ Quy hoạch được duyệt tạo điều kiện cho hoạt động đầu tư sản xuất vật liệu nổ công nghiệp, thực hiện việc quản lý kinh doanh, vận chuyển và sử dụng vật liệu nổ công nghiệp trên địa bàn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Điểu 3.</w:t>
      </w:r>
      <w:r>
        <w:t xml:space="preserve">Quyết định này có hiệu lực thi hành sau 15 ngày, kể từ ngày đăng Công báo và thay thế Quyết định số 64/2002/QĐ-TTg ngày 23 tháng 5 năm 2002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Điểu 4.</w:t>
      </w:r>
      <w:r>
        <w:t xml:space="preserve"> Các Bộ trưởng, Thủ trưởng cơ quan ngang Bộ, Thủ trưởng cơ quan thuộc Chính phủ, Chủ tịch Ủy ban nhân dân các tỉnh, thành phố trực thuộc Trung ương và Thủ trưởng các cơ quan liên quan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Trung Hải</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2022-06-20T23:09:21Z</dcterms:created>
  <dcterms:modified xsi:type="dcterms:W3CDTF">2022-06-20T23:09:21Z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2022-06-20T23:09:21Z</dcterms:created>
  <dcterms:modified xsi:type="dcterms:W3CDTF">2022-06-20T23:09:21Z</dcterms:modified>
</cp:coreProperties>
</file>