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206/2004/NĐ-CP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14 tháng 12 năm 2004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Quy định quản lý lao động, tiền lương và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trong các công ty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Bộ luật Lao động ngày 23 tháng 6 năm 1994; Luật sửa đổi, bổ sung một số điều của Bộ luật Lao động ngày 02 tháng 4 năm 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Doanh nghiệp nhà nước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Bộ trưởng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w:t>
      </w:r>
      <w:r>
        <w:t xml:space="preserve"> Phạm vi áp dụng các quy định quản lý lao động, tiền lương và thu nhập tại Nghị định này,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Công ty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Tổng công ty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Công ty nhà nước độc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Công ty thành viên hạch toán độc lập của Tổng công ty do Nhà nước quyết định đầu tư và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Tổng công ty, công ty nêu trên được gọi tắt là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w:t>
      </w:r>
      <w:r>
        <w:t xml:space="preserve">Đối tượng áp dụng, bao gồm người lao động làm việc theo chế độ hợp đồng lao động theo quy định của Bộ luật Lao động và Phó Tổng giám đốc, Phó giám đốc, Kế toán trưởng (không kể Phó Tổng giám đốc, Phó giám đốc, Kế toán trưởng làm việc theo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w:t>
      </w:r>
      <w:r>
        <w:t xml:space="preserve"> Quản lý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Căn cứ vào khối lượng, chất lượng, yêu cầu, nhiệm vụ sản xuất, kinh doanh, hàng năm công ty xác định kế hoạch sử dụng lao động và đăng ký với đại diện chủ sở hữu trước khi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Trên cơ sở kế hoạch sử dụng lao động đã đăng ký, công ty trực tiếp tuyển dụng theo quy chế tuyển dụng lao động của công ty và ký kết hợp đồng lao động theo quy định của pháp luật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Hàng năm công ty có trách nhiệm đánh giá kế hoạch sử dụng lao động và giải quyết chế độ đối với lao động không có việc làm theo quy định của pháp luật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w:t>
      </w:r>
      <w:r>
        <w:t xml:space="preserve">Công ty được áp dụng hệ số điều chỉnhtăng thêm không quá 2 lần so với mức lương tối thiểu chung do Chính phủ quy định để làm cơ sở tính đơn giá tiền lương. Khi áp dụng hệ số điều chỉnh tăng thêm này công ty phải bảo đảm đủ các điều kiện: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Nộp ngân sách nhà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Mức tăng tiền lương bình quân phải thấp hơn mức tăng năng suất lao động bình quân;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Lợi nhuận kế hoạch không thấp hơn so với lợi nhuận thực hiện của năm trước liền kề, trừ trường hợp đặc biệt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w:t>
      </w:r>
      <w:r>
        <w:t xml:space="preserve">Việc xây dựng đơn giá tiền lương và quản lý tiền lương của các công ty phải bảo đảm các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Đơn giá tiền lương được xây dựng trên cơ sở định mức lao động tiên tiến và thông số tiền lương phù hợp với các điều kiện quy định tại Điều 4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Đơn giá tiền lương phải đăng ký với đại diện chủ sở hữu trước khi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với công ty hạng đặc biệt và công ty thực hiện hoạt động công ích có vị trí quan trọng trong nền kinh tế quốc dân thì đơn giá tiền lương do Bộ Lao động - Thương binh và Xã hội, Bộ Tài chính thẩm định và báo cáo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Quỹ tiền lương thực hiện được xác định theo mức độ hoàn thành chỉ tiêu sản xuất, kinh doanh, năng suất lao động, lợi nhuận thực hiện và trả lương cho người lao động theo quy chế trả lương của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w:t>
      </w:r>
      <w:r>
        <w:t xml:space="preserve">Chế độ tiền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Quỹ thưởng từ quỹ khen thưởng của công ty được xác định theo quy định tại Nghị định số </w:t>
      </w:r>
      <w:hyperlink r:id="rId4" w:history="1">
        <w:r>
          <w:rPr>
            <w:rStyle w:val="Hyperlink"/>
          </w:rPr>
          <w:t xml:space="preserve">199/2004/NĐ-CP </w:t>
        </w:r>
      </w:hyperlink>
      <w:r>
        <w:t xml:space="preserve"> ngày 03 tháng 12 năm 2004 của Chính phủ ban hành Quy chế quản lý tài chính của công ty nhà nước và quản lý vốn nhà nước đầu tư vào doanh nghiệp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Tiền thưởng đối với người lao động được thực hiện theo quy chế thưởng của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 </w:t>
      </w:r>
      <w:r>
        <w:t xml:space="preserve">Tổng giám đốc, Giám đốc công ty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Quý I hàng năm, xây dựng kế hoạch lợi nhuận; kế hoạch sử dụng lao động; đơn giá tiền lương và đăng ký với đại diện chủ sở hữu. Đồng thời gửi cho cơ quan thuế tại địa phương đơn giá tiền lương để làm căn cứ tính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Xác định quỹ tiền lương thực hiện, quỹ tiền thưởng của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Xây dựng định mức lao động; tiêu chuẩn cấp bậc kỹ thuật công nhân; tiêu chuẩn chuyên môn, nghiệp vụ viên chức, nhân viên; quy chế nâng ngạch, nâng bậc lương; quy chế trả lương, quy chế thưởng theo quy định của pháp luật, bảo đảm dân chủ, công bằng, minh bạch, khuyến khích những người có tài năng, có trình độ chuyên môn, kỹ thuật cao, có năng suất lao động cao đóng góp nhiều cho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Củng cố tổ chức bộ máy và tăng cường đủ số lượng, chất lượng viên chức làm công tác lao động, tiền lương của công ty theo quy định của đại diện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Quý I hàng năm, báo cáo đại diện chủ sở hữu và Sở Lao động - Thương binh và Xã hội địa phương kết quả sản xuất, kinh doanh, lợi nhuận, lao động, tiền lương, tiền thưởng năm trước năm kế hoạch của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w:t>
      </w:r>
      <w:r>
        <w:t xml:space="preserve"> Đại diện chủ sở hữu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Hội đồng quản trị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Thông qua kế hoạch lợi nhuận; kế hoạch sử dụng lao động; định mức lao động; đơn giá tiền lương; tiêu chuẩn cấp bậc kỹ thuật công nhân; tiêu chuẩn chuyên môn, nghiệp vụ viên chức, nhân viên; quy chế nâng ngạch, nâng bậc lương, quỹ tiền lương, tiền thưởng và quy chế trả lương, quy chế thưởng của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Chỉ đạo, kiểm tra, giám sát việc thực hiện các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Báo cáo Bộ Lao động - Thương binh và Xã hội, Bộ Tài chính về đơn giá tiền lương đối với công ty hạng đặc biệt và công ty thực hiện hoạt động công ích có vị trí quan trọng trong nền kinh tế quốc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Quyết định tổ chức bộ máy, biên chế viên chức làm công tác lao động, tiền lương của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Quý I hàng năm, báo cáo Bộ Lao động - Thương binh và Xã hội hoặc Bộ quản lý ngành, ủy ban nhân dân tỉnh, thành phố trực thuộc Trung ương kết quả sản xuất, kinh doanh, lợi nhuận, lao động, tiền lương, tiền thưởng năm trước năm kế hoạch của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Bộ quản lý ngành, ủy ban nhân dân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Tiếp nhận đăng ký kế hoạch lợi nhuận; kế hoạch sử dụng lao động; đơn giá tiền lương; quy chế trả lương, quy chế thưởng và báo cáo kết quả sản xuất, kinh doanh, lợi nhuận, lao động, tiền lương, tiền thưởng năm trước năm kế hoạch của công ty thuộc quyền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Hướng dẫn, kiểm tra, giám sát việc thực hiện các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Phối hợp với Bộ Lao động - Thương binh và Xã hội, Bộ Tài chính thẩm định đơn giá tiền lương đối với công ty hạng đặc biệt và công ty thực hiện hoạt động công ích có vị trí quan trọng trong nền kinh tế quốc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Quý I hàng năm, báo cáo Bộ Lao động - Thương binh và Xã hội kết quả sản xuất, kinh doanh, lợi nhuận, lao động, tiền lương, tiền thưởng năm trước năm kế hoạch của các công ty thuộc quyền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w:t>
      </w:r>
      <w:r>
        <w:t xml:space="preserve">. Bộ Lao động - Thương binh và Xã hội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Hướng dẫn phương phápxây dựng định mức lao động; tiêu chuẩn cấp bậc kĩ thuật công nhân; tiêu chuẩn chuyên môn, nghiệp vụ viên chức, nhân viên; năng suất lao động; tiền lương bình quân; đơn giá tiền lương và quy chế trả lương, quy chế thưởng của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Chủ trì, phối hợp với Bộ Tài chính thẩm định đơn giá tiền lương đối với các công ty hạng đặc biệt và công ty thực hiện hoạt động công ích có vị trí quan trọng trong nền kinh tế quốc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w:t>
      </w:r>
      <w:r>
        <w:t xml:space="preserve">Nghị định này có hiệu lực thi hành sau 15 ngày, kể từ ngày đăng Công báo và thay thế Nghị định số 28/CP ngày 28 tháng 3 năm 1997 và Nghị định số 03/2001/NĐ-CP ngày 11 tháng 01 năm 2001 của Chính phủ về đổi mới quản lý tiền lương và thu nhập trong các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quy định tại Nghị định này được thực hiện từ ngày 01 tháng 01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w:t>
      </w:r>
      <w:r>
        <w:t xml:space="preserve">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06-2004-nd-cp-cua-chinh-phu---nghi-dinh-quy-dinh-quan-ly-lao-dong--tien-luong-va-thu-nhap-trong-cac-cong-ty-nha-nuoc.aspx" TargetMode="External" /><Relationship Id="rId4" Type="http://schemas.openxmlformats.org/officeDocument/2006/relationships/hyperlink" Target="/nghi-dinh-199-2004-nd-cp-quy-che-quan-ly-tai-chinh-cua-cong-ty-nha-nuoc-quan-ly-von-nha-nuoc-dau-tu-vao-doanh-nghiep-kha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2022-06-20T22:47:46Z</dcterms:created>
  <dcterms:modified xsi:type="dcterms:W3CDTF">2022-06-20T22:47:46Z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2022-06-20T22:47:46Z</dcterms:created>
  <dcterms:modified xsi:type="dcterms:W3CDTF">2022-06-20T22:47:46Z</dcterms:modified>
</cp:coreProperties>
</file>