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p>
          <w:p>
            <w:pPr>
              <w:pStyle w:val="Normal(Web)"/>
              <w:divId w:val="2"/>
              <w:jc w:val="center"/>
              <w:rPr>
                <w:vanish w:val="0"/>
              </w:rPr>
            </w:pPr>
            <w:r>
              <w:t xml:space="preserve">Số: 32/2006/QĐ-NHNN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7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Ban hành Quy định về kế toán trên máy vi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đối với Ngân hàng Nhà nước,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Ngân hàng Nhà nước Việt Nam năm 1997 và Luật sửa đổi, bổ sung một số điều của Luật Ngân hàng Nhà nước Việt Nam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các tổ chức tín dụng năm 1997 và Luật sửa đổi, bổ sung một số điều của Luật các tổ chức tín dụng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Kế toán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Giao dịch điện tử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3" w:history="1">
        <w:r>
          <w:rPr>
            <w:rStyle w:val="Hyperlink"/>
            <w:i/>
          </w:rPr>
          <w:t xml:space="preserve">128/2004/NĐ-CP </w:t>
        </w:r>
      </w:hyperlink>
      <w:r>
        <w:rPr>
          <w:i/>
        </w:rPr>
        <w:t xml:space="preserve"> ngày 31/05/2004 của Chính phủ quy định chi tiết và hướng dẫn thi hành một số điều của Luật Kế toán áp dụng trong lĩnh vực kế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129/2004/NĐ-CP </w:t>
        </w:r>
      </w:hyperlink>
      <w:r>
        <w:rPr>
          <w:i/>
        </w:rPr>
        <w:t xml:space="preserve"> ngày 31/05/2004 của Chính phủ quy định chi tiết và hướng dẫn thi hành một số điều của Luật Kế toán áp dụng trong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52/2003/NĐ-CP </w:t>
        </w:r>
      </w:hyperlink>
      <w:r>
        <w:rPr>
          <w:i/>
        </w:rPr>
        <w:t xml:space="preserve"> ngày 19/05/2003 của Chính phủ quy định chức năng, nhiệm vụ, quyền hạn và cơ cấu tổ chức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Công văn số 8178/BTC-CĐKT ngày 03/07/2006 của Bộ Tài chính về việc "Chấp thuận ban hành Quy định về kế toán trên máy vi tính đối với Ngân hàng Nhà nước,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Vụ trưởng Vụ Kế toán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Ban hành kèm theo Quyết định này Quy định về kế toán trên máy vi tính đối với Ngân hàng Nhà nước,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Quyết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Chánh Văn phòng, Vụ trưởng Vụ Kế toán - Tài chính, Thủ trưởng các đơn vị có liên quan thuộc Ngân hàng Nhà nước, Giám đốc Ngân hàng Nhà nước Chi nhánh tỉnh, thành phố trực thuộc Trung ương, Tổng Giám đốc (Giám đốc) các tổ chức tín dụng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Thị Liên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8-2004-nd-cp-cua-chinh-phu---nghi-dinh-quy-dinh-chi-tiet-va-huong-dan-thi-hanh-mot-so-dieu-cua-luat-ke-toan-ap-dung-trong-linh-vuc-ke-toan-nha-nuoc.aspx" TargetMode="External" /><Relationship Id="rId4" Type="http://schemas.openxmlformats.org/officeDocument/2006/relationships/hyperlink" Target="/nghi-dinh-129-2004-nd-cp-huong-dan-thi-hanh-mot-so-dieu-cua-luat-ke-toan-ap-dung-trong-hoat-dong-kinh-doanh-.aspx" TargetMode="External" /><Relationship Id="rId5" Type="http://schemas.openxmlformats.org/officeDocument/2006/relationships/hyperlink" Target="/nghi-dinh-so-52-2003-nd-cp-cua-chinh-phu---nghi-dinh-quy-dinh-chuc-nang--nhiem-vu--quyen-han-va-co-cau-to-chuc-cua-ngan-hang-nha-nuoc-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2022-06-22T11:41:20Z</dcterms:created>
  <dcterms:modified xsi:type="dcterms:W3CDTF">2022-06-22T11:41:20Z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2022-06-22T11:41:20Z</dcterms:created>
  <dcterms:modified xsi:type="dcterms:W3CDTF">2022-06-22T11:41:20Z</dcterms:modified>
</cp:coreProperties>
</file>