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THỦ TƯỚNG CHÍNH PHỦ</w:t>
            </w:r>
          </w:p>
          <w:p>
            <w:pPr>
              <w:pStyle w:val="Normal(Web)"/>
              <w:divId w:val="2"/>
              <w:jc w:val="center"/>
              <w:rPr>
                <w:vanish w:val="0"/>
              </w:rPr>
            </w:pPr>
            <w:r>
              <w:t xml:space="preserve">Số: 40/2010/QĐ-TTg </w:t>
            </w:r>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12 tháng 5 năm 2010</w:t>
            </w:r>
          </w:p>
        </w:tc>
      </w:tr>
    </w:tbl>
    <w:p>
      <w:pPr>
        <w:pStyle w:val="Normal(Web)"/>
        <w:divId w:val="7"/>
        <w:jc w:val="center"/>
        <w:rPr>
          <w:vanish w:val="0"/>
        </w:rPr>
      </w:pPr>
      <w:r>
        <w:rPr>
          <w:b/>
        </w:rPr>
        <w:t xml:space="preserve">QUYẾT ĐỊNH</w:t>
      </w:r>
    </w:p>
    <w:p>
      <w:pPr>
        <w:pStyle w:val="Normal(Web)"/>
        <w:divId w:val="8"/>
        <w:jc w:val="center"/>
        <w:rPr>
          <w:vanish w:val="0"/>
        </w:rPr>
      </w:pPr>
      <w:r>
        <w:rPr>
          <w:b/>
        </w:rPr>
        <w:t xml:space="preserve">Về việc ban hành Quy chế mẫu về quản lý, sử dụng Quỹ phát triển đất</w:t>
      </w:r>
    </w:p>
    <w:p>
      <w:pPr>
        <w:pStyle w:val="Normal(Web)"/>
        <w:divId w:val="9"/>
        <w:jc w:val="center"/>
        <w:rPr>
          <w:vanish w:val="0"/>
        </w:rPr>
      </w:pPr>
      <w:r>
        <w:rPr>
          <w:b/>
        </w:rPr>
        <w:t xml:space="preserve">THỦ TƯỚNG CHÍNH PHỦ</w:t>
      </w:r>
    </w:p>
    <w:p>
      <w:pPr>
        <w:pStyle w:val="Normal(Web)"/>
        <w:divId w:val="10"/>
        <w:rPr>
          <w:vanish w:val="0"/>
        </w:rPr>
      </w:pPr>
      <w:r>
        <w:t xml:space="preserve">Căn cứ Luật Tổ chức Chính phủ ngày 25 tháng 12 năm 2001;</w:t>
      </w:r>
    </w:p>
    <w:p>
      <w:pPr>
        <w:pStyle w:val="Normal(Web)"/>
        <w:divId w:val="11"/>
        <w:rPr>
          <w:vanish w:val="0"/>
        </w:rPr>
      </w:pPr>
      <w:r>
        <w:t xml:space="preserve">Căn cứ Luật Ngân sách nhà nước ngày 16 tháng 12 năm 2002;</w:t>
      </w:r>
    </w:p>
    <w:p>
      <w:pPr>
        <w:pStyle w:val="Normal(Web)"/>
        <w:divId w:val="12"/>
        <w:rPr>
          <w:vanish w:val="0"/>
        </w:rPr>
      </w:pPr>
      <w:r>
        <w:t xml:space="preserve">Căn cứ Luật Đất đai ngày 26 tháng 11 năm 2003;</w:t>
      </w:r>
    </w:p>
    <w:p>
      <w:pPr>
        <w:pStyle w:val="Normal(Web)"/>
        <w:divId w:val="13"/>
        <w:rPr>
          <w:vanish w:val="0"/>
        </w:rPr>
      </w:pPr>
      <w:r>
        <w:t xml:space="preserve">Căn cứ Nghị định số </w:t>
      </w:r>
      <w:hyperlink r:id="rId3" w:history="1">
        <w:r>
          <w:rPr>
            <w:rStyle w:val="Hyperlink"/>
          </w:rPr>
          <w:t xml:space="preserve">69/2009/NĐ-CP </w:t>
        </w:r>
      </w:hyperlink>
      <w:r>
        <w:t xml:space="preserve"> ngày 13 tháng 8 năm 2009 của Chính phủ quy định bổ sung về quy hoạch sử dụng đất, giá đất, thu hồi đất, bồi thường, hỗ trợ và tái định cư;</w:t>
      </w:r>
    </w:p>
    <w:p>
      <w:pPr>
        <w:pStyle w:val="Normal(Web)"/>
        <w:divId w:val="14"/>
        <w:rPr>
          <w:vanish w:val="0"/>
        </w:rPr>
      </w:pPr>
      <w:r>
        <w:t xml:space="preserve">Xét đề nghị của Bộ trưởng Bộ Tài chính,</w:t>
      </w:r>
    </w:p>
    <w:p>
      <w:pPr>
        <w:pStyle w:val="Normal(Web)"/>
        <w:divId w:val="15"/>
        <w:jc w:val="center"/>
        <w:rPr>
          <w:vanish w:val="0"/>
        </w:rPr>
      </w:pPr>
      <w:r>
        <w:rPr>
          <w:b/>
        </w:rPr>
        <w:t xml:space="preserve">QUYẾT ĐỊNH:</w:t>
      </w:r>
    </w:p>
    <w:p>
      <w:pPr>
        <w:pStyle w:val="Normal(Web)"/>
        <w:divId w:val="16"/>
        <w:rPr>
          <w:vanish w:val="0"/>
        </w:rPr>
      </w:pPr>
      <w:r>
        <w:rPr>
          <w:b/>
        </w:rPr>
        <w:t xml:space="preserve">Điều 1.</w:t>
      </w:r>
      <w:r>
        <w:t xml:space="preserve">Ban hành kèm theo Quyết định này “Quy chế mẫu về quản lý, sử dụng Quỹ phát triển đất”.</w:t>
      </w:r>
    </w:p>
    <w:p>
      <w:pPr>
        <w:pStyle w:val="Normal(Web)"/>
        <w:divId w:val="17"/>
        <w:rPr>
          <w:vanish w:val="0"/>
        </w:rPr>
      </w:pPr>
      <w:r>
        <w:rPr>
          <w:b/>
        </w:rPr>
        <w:t xml:space="preserve">Điều 2. </w:t>
      </w:r>
      <w:r>
        <w:t xml:space="preserve">Bộ Tài chính chủ trì, phối hợp với Bộ Tài nguyên và Môi trường chỉ đạo, kiểm tra việc thực hiện Quyết định này. </w:t>
      </w:r>
    </w:p>
    <w:p>
      <w:pPr>
        <w:pStyle w:val="Normal(Web)"/>
        <w:divId w:val="18"/>
        <w:rPr>
          <w:vanish w:val="0"/>
        </w:rPr>
      </w:pPr>
      <w:r>
        <w:rPr>
          <w:b/>
        </w:rPr>
        <w:t xml:space="preserve">Điều 3.</w:t>
      </w:r>
      <w:r>
        <w:t xml:space="preserve"> Ủy ban nhân dân tỉnh, thành phố trực thuộc Trung ương có trách nhiệm:</w:t>
      </w:r>
    </w:p>
    <w:p>
      <w:pPr>
        <w:pStyle w:val="Normal(Web)"/>
        <w:divId w:val="19"/>
        <w:rPr>
          <w:vanish w:val="0"/>
        </w:rPr>
      </w:pPr>
      <w:r>
        <w:t xml:space="preserve">1. Quyết định thành lập Quỹ phát triển đất của địa phương; quyết định uỷ thác cho Quỹ đầu tư phát triển hoặc Quỹ tài chính khác của địa phương quản lý Quỹ phát triển đất (nếu cần); </w:t>
      </w:r>
    </w:p>
    <w:p>
      <w:pPr>
        <w:pStyle w:val="Normal(Web)"/>
        <w:divId w:val="20"/>
        <w:rPr>
          <w:vanish w:val="0"/>
        </w:rPr>
      </w:pPr>
      <w:r>
        <w:t xml:space="preserve">2. Ban hành Điều lệ về tổ chức, hoạt động và Quy chế quản lý, sử dụng Quỹ phát triển đất của địa phương theo quy định tại Quy chế mẫu về quản lý, sử dụng Quỹ phát triển đất ban hành kèm theo Quyết định này và pháp luật có liên quan;</w:t>
      </w:r>
    </w:p>
    <w:p>
      <w:pPr>
        <w:pStyle w:val="Normal(Web)"/>
        <w:divId w:val="21"/>
        <w:rPr>
          <w:vanish w:val="0"/>
        </w:rPr>
      </w:pPr>
      <w:r>
        <w:t xml:space="preserve">3. </w:t>
      </w:r>
      <w:r>
        <w:t xml:space="preserve">Hàng năm, các tỉnh, thành phố trực thuộc Trung ương được trích từ 30% đến 50% từ nguồn thu tiền sử dụng đất, tiền thuê đất, tiền thu từ đấu giá quyền sử dụng đất trên địa bàn tỉnh, thành phố (sau khi trừ các khoản chi để bồi thường, hỗ trợ, tái định cư và các chi phí có liên quan khác) để thành lập Quỹ phát triển đất. Mức trích cụ thể do Ủy ban nhân dân tỉnh quyết định căn cứ vào dự toán ngân sách nhà nước được Hội đồng nhân dân cùng cấp quyết định.</w:t>
      </w:r>
    </w:p>
    <w:p>
      <w:pPr>
        <w:pStyle w:val="Normal(Web)"/>
        <w:divId w:val="22"/>
        <w:rPr>
          <w:vanish w:val="0"/>
        </w:rPr>
      </w:pPr>
      <w:r>
        <w:t xml:space="preserve">4. Chỉ đạo, kiểm tra việc quản lý, sử dụng Quỹ phát triển đất của địa phương;</w:t>
      </w:r>
    </w:p>
    <w:p>
      <w:pPr>
        <w:pStyle w:val="Normal(Web)"/>
        <w:divId w:val="23"/>
        <w:rPr>
          <w:vanish w:val="0"/>
        </w:rPr>
      </w:pPr>
      <w:r>
        <w:t xml:space="preserve">5. Báo cáo Bộ Tài chính, Bộ Tài nguyên và Môi trường tình hình quản lý, sử dụng Quỹ phát triển đất theo định kỳ hàng năm hoặc những vướng mắc vượt thẩm quyền xử lý trong quá trình quản lý, sử dụng Quỹ phát triển đất;</w:t>
      </w:r>
    </w:p>
    <w:p>
      <w:pPr>
        <w:pStyle w:val="Normal(Web)"/>
        <w:divId w:val="24"/>
        <w:rPr>
          <w:vanish w:val="0"/>
        </w:rPr>
      </w:pPr>
      <w:r>
        <w:t xml:space="preserve">6. Thực hiện các nhiệm vụ khác quy định tại Quy chế mẫu về quản lý, sử dụng Quỹ phát triển đất ban hành kèm theo Quyết định này.</w:t>
      </w:r>
    </w:p>
    <w:p>
      <w:pPr>
        <w:pStyle w:val="Normal(Web)"/>
        <w:divId w:val="25"/>
        <w:rPr>
          <w:vanish w:val="0"/>
        </w:rPr>
      </w:pPr>
      <w:r>
        <w:rPr>
          <w:b/>
        </w:rPr>
        <w:t xml:space="preserve">Điều 4.</w:t>
      </w:r>
      <w:r>
        <w:t xml:space="preserve"> Quyết định này có hiệu lực thi hành từ ngày 01 tháng 7 năm 2010.</w:t>
      </w:r>
    </w:p>
    <w:p>
      <w:pPr>
        <w:pStyle w:val="Normal(Web)"/>
        <w:divId w:val="26"/>
        <w:rPr>
          <w:vanish w:val="0"/>
        </w:rPr>
      </w:pPr>
      <w:r>
        <w:rPr>
          <w:b/>
        </w:rPr>
        <w:t xml:space="preserve">Điều 5</w:t>
      </w:r>
      <w:r>
        <w:t xml:space="preserve">. Các Bộ trưởng, Thủ trưởng cơ quan ngang Bộ, Thủ trưởng cơ quan thuộc Chính phủ, Chủ tịch Ủy ban nhân dân tỉnh, thành phố trực thuộc Trung ương và Thủ trưởng các cơ quan liên quan chịu trách nhiệm thi hành Quyết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sChild>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sChild>
    </w:div>
    <w:div w:id="2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69-2009-nd-cp-quy-dinh-bo-sung-ve-quy-hoach-su-dung-dat--gia-dat--thu-hoi-dat--boi-thuong--ho-tro-tai-dinh-cu.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2022-06-21T17:37:54Z</dcterms:created>
  <dcterms:modified xsi:type="dcterms:W3CDTF">2022-06-21T17:37:54Z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2022-06-21T17:37:54Z</dcterms:created>
  <dcterms:modified xsi:type="dcterms:W3CDTF">2022-06-21T17:37:54Z</dcterms:modified>
</cp:coreProperties>
</file>