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HIỆP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THƯƠNGMẠI GIỮA CHÍNH PHỦ CỘNG HOÀ XÃ HỘI CHỦ NGHĨA VIỆT NAM VÀ CHÍNH PHỦ CỘNG HOÀNƯỚC CỘNG HÒA NHÂN DÂN TRUNG HOA (1991)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nước Cộng Hòa Xã HộiChủ Nghĩa Việt Nam và Chính phủ nước Cộng Hòa Nhân Dân Trung Hoa (dưới đây gọitắt là hai bên ký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thúc đẩy hơn nữa sự hợp tácthân thiện giữa hai nước và phát triển quan hệ thương mại giữa hai nước trên cơsở bình đẳng và cùng có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tới đặc điểm phát triểnkinh tế và thương mại của mỗi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thỏa thuận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ký kết căn cứ vào nhucầu và khả năng của mỗi nước tích cực thúc đẩy sự phát triển lâu dài, liên tụcvà ổn định của quan hệ thương mại hai nước Việt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dành cho nhau đãi ngộtối huệ quốc trong việc đánh thuế hải quan hàng nhập khẩu và hàng xuất khẩu,cũng như trong việc giải quyết các thủ tục qui chế về quản lý hải quan; đãi ngộnày không liên quan tới các ưu đãi và lợi ích mà mỗi nước đã và sẽ dành cho cácđối tượng thương mại đặc thù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mại giữa hai nước tiếnhành trên cơ sở các hợp đồng ký kết giữa các Công ty ngoại thương và các thựcthể kinh tế khác có quyền kinh doanh ngoại thương của hai nước theo các quyđịnh của Hiệp định này và luật pháp của hai nước đồng thời phù hợp với tập quánthương mại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cả hàng hóa trong hợp đồngngoại thương sẽ dựa vào mức giá thị trường quốc tế của hàng hóa ấy, do các Côngty ngoại thương của hai nước thỏa thuận; chi trả thanh toán bằng đồng tiềnchuyển đổi tự do mà hai bên đồng ý. Các vấn đề cụ thể về chi trả thanh toán dongân hàng hai nước thỏa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ký kết đồng ý, ngoàiviệc buôn bán dùng tiền, các Công ty ngoại thương hoặc các thực thể kinh tếkhác có quyền kinh doanh ngoại thương của hai nước còn có thể triển khai buônbán theo các phương thức khác mà hai bên chấp nhận, để bổ sung cho buôn bándùng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ký kết đồng ý thúc đẩybuôn bán dân gian ở biên giới hai nước; các vấn đề cụ thể của việc buôn bán nàysẽ được giải quyết theo các quy định có liên quan của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ký kết đồng ý tạo điềukiện dễ dàng thuận lợi cho nhau trong các hoạt động xúc tiến mậu dịch như hộichợ thương mại v...v và các cơ quan hữu quan của nước kia tổ chức tại nước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Hiệp định này, haibên ký kết đồng ý đại diện Bộ Thương mại và du lịch nước Cộng Hòa Xã Hội ChủNghĩa Việt Nam và đại diện Bộ Kinh tế và Mậu dịch đối ngoại nước Cộng Hòa NhânDân Trung Hoa, tùy theo sự cần thiết, sẽ gặp gỡ để trao đổi ý kiến về các vấnđề thương mại giữa hai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Hiệp định này hết hạn,các hợp đồng buôn bán ký kết theo Hiệp định này nhưng chưa thực hiện xong sẽtiếp tục có hiệu lực cho tới khi thực hiện xong.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Thương mại và du lịch nướcCộng Hòa Xã Hội Chủ Nghĩa Việt Nam và Bộ Kinh tế và Mậu dịch đối ngoại nướcCộng Hòa Nhân Dân Trung Hoa là hai cơ quan chấp hành của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 này bắt đầu có hiệulực từ ngày ký, thời hạn là ba năm. Ba tháng trước khi Hiệp định này hết hạn,nếu chưa có bên ký kết nào dùng văn bản đề nghị chấm dứt Hiệp định này, thìthời hạn hiệu lực của Hiệp định này sẽ tự động kéo dài thêm một năm và sẽ tiếptục kéo dài theo thể thức ấy.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 này ký ngày 7 tháng 11năm 1991 tại Bắc Kinh, thành hai bản, mỗi bên đều bằng tiếng Việt nam và tiếngTrung quốc, hai văn bản có giá trị như nhau.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TOÀN QUYỀN CHÍNH PHỦ</w:t>
            </w:r>
            <w:r>
              <w:rPr/>
              <w:br/>
            </w:r>
            <w:r>
              <w:t xml:space="preserve"> </w:t>
            </w:r>
            <w:r>
              <w:rPr>
                <w:b/>
              </w:rPr>
              <w:t xml:space="preserve">CỘNG HÒA XÃ HỘI CHỦ NGHĨA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TOÀN QUYỀN CHÍNH PHỦ</w:t>
            </w:r>
            <w:r>
              <w:rPr/>
              <w:br/>
            </w:r>
            <w:r>
              <w:t xml:space="preserve"> </w:t>
            </w:r>
            <w:r>
              <w:rPr>
                <w:b/>
              </w:rPr>
              <w:t xml:space="preserve">CỘNG HÒA NHÂN DÂN TRUNG HOA</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2022-06-20T23:50:41Z</dcterms:created>
  <dcterms:modified xsi:type="dcterms:W3CDTF">2022-06-20T23:50:41Z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2022-06-20T23:50:41Z</dcterms:created>
  <dcterms:modified xsi:type="dcterms:W3CDTF">2022-06-20T23:50:41Z</dcterms:modified>
</cp:coreProperties>
</file>