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24534" w:rsidRPr="00224534" w14:paraId="7BD39F1F" w14:textId="77777777" w:rsidTr="002245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9C78A"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r w:rsidRPr="00224534">
              <w:rPr>
                <w:rFonts w:ascii="Arial" w:hAnsi="Arial" w:cs="Arial"/>
                <w:b/>
                <w:bCs/>
                <w:color w:val="000000"/>
                <w:sz w:val="21"/>
                <w:szCs w:val="21"/>
                <w:lang w:val="en-VN"/>
              </w:rPr>
              <w:t>THE GOVERNMENT</w:t>
            </w:r>
            <w:r w:rsidRPr="00224534">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8FFA2"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r w:rsidRPr="00224534">
              <w:rPr>
                <w:rFonts w:ascii="Arial" w:hAnsi="Arial" w:cs="Arial"/>
                <w:b/>
                <w:bCs/>
                <w:color w:val="000000"/>
                <w:sz w:val="21"/>
                <w:szCs w:val="21"/>
                <w:lang w:val="en-VN"/>
              </w:rPr>
              <w:t>SOCIALIST REPUBLIC OF VIETNAM</w:t>
            </w:r>
            <w:r w:rsidRPr="00224534">
              <w:rPr>
                <w:rFonts w:ascii="Arial" w:hAnsi="Arial" w:cs="Arial"/>
                <w:b/>
                <w:bCs/>
                <w:color w:val="000000"/>
                <w:sz w:val="21"/>
                <w:szCs w:val="21"/>
                <w:lang w:val="en-VN"/>
              </w:rPr>
              <w:br/>
              <w:t>Independence - Freedom - Happiness</w:t>
            </w:r>
            <w:r w:rsidRPr="00224534">
              <w:rPr>
                <w:rFonts w:ascii="Arial" w:hAnsi="Arial" w:cs="Arial"/>
                <w:b/>
                <w:bCs/>
                <w:color w:val="000000"/>
                <w:sz w:val="21"/>
                <w:szCs w:val="21"/>
                <w:lang w:val="en-VN"/>
              </w:rPr>
              <w:br/>
              <w:t>---------------</w:t>
            </w:r>
          </w:p>
        </w:tc>
      </w:tr>
      <w:tr w:rsidR="00224534" w:rsidRPr="00224534" w14:paraId="7FA232D9" w14:textId="77777777" w:rsidTr="002245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C6E16"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r w:rsidRPr="00224534">
              <w:rPr>
                <w:rFonts w:ascii="Arial" w:hAnsi="Arial" w:cs="Arial"/>
                <w:color w:val="000000"/>
                <w:sz w:val="21"/>
                <w:szCs w:val="21"/>
                <w:lang w:val="en-VN"/>
              </w:rPr>
              <w:t>No. 53/2017/ND-CP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8055B" w14:textId="77777777" w:rsidR="00224534" w:rsidRPr="00224534" w:rsidRDefault="00224534" w:rsidP="00224534">
            <w:pPr>
              <w:spacing w:before="100" w:beforeAutospacing="1" w:after="90" w:line="345" w:lineRule="atLeast"/>
              <w:jc w:val="right"/>
              <w:rPr>
                <w:rFonts w:ascii="Arial" w:hAnsi="Arial" w:cs="Arial"/>
                <w:color w:val="000000"/>
                <w:sz w:val="21"/>
                <w:szCs w:val="21"/>
                <w:lang w:val="en-VN"/>
              </w:rPr>
            </w:pPr>
            <w:r w:rsidRPr="00224534">
              <w:rPr>
                <w:rFonts w:ascii="Arial" w:hAnsi="Arial" w:cs="Arial"/>
                <w:i/>
                <w:iCs/>
                <w:color w:val="000000"/>
                <w:sz w:val="21"/>
                <w:szCs w:val="21"/>
                <w:lang w:val="en-VN"/>
              </w:rPr>
              <w:t>Hanoi, May 08, 2017</w:t>
            </w:r>
          </w:p>
        </w:tc>
      </w:tr>
    </w:tbl>
    <w:p w14:paraId="0C859C6B"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p>
    <w:p w14:paraId="7CCE6E30"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r w:rsidRPr="00224534">
        <w:rPr>
          <w:rFonts w:ascii="Arial" w:hAnsi="Arial" w:cs="Arial"/>
          <w:b/>
          <w:bCs/>
          <w:color w:val="000000"/>
          <w:sz w:val="21"/>
          <w:szCs w:val="21"/>
          <w:lang w:val="en-VN"/>
        </w:rPr>
        <w:t>DECREE</w:t>
      </w:r>
    </w:p>
    <w:p w14:paraId="166625EB"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r w:rsidRPr="00224534">
        <w:rPr>
          <w:rFonts w:ascii="Arial" w:hAnsi="Arial" w:cs="Arial"/>
          <w:color w:val="000000"/>
          <w:sz w:val="21"/>
          <w:szCs w:val="21"/>
          <w:lang w:val="en-VN"/>
        </w:rPr>
        <w:t>ON LEGAL LAND DOCUMENTS FOR GRANTING CONSTRUCTION LICENSES</w:t>
      </w:r>
    </w:p>
    <w:p w14:paraId="67C97339"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i/>
          <w:iCs/>
          <w:color w:val="000000"/>
          <w:sz w:val="21"/>
          <w:szCs w:val="21"/>
          <w:lang w:val="en-VN"/>
        </w:rPr>
        <w:t>Pursuant to the Law on Organization of the Government dated June 19, 2015;</w:t>
      </w:r>
    </w:p>
    <w:p w14:paraId="36563D28"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i/>
          <w:iCs/>
          <w:color w:val="000000"/>
          <w:sz w:val="21"/>
          <w:szCs w:val="21"/>
          <w:lang w:val="en-VN"/>
        </w:rPr>
        <w:t>Pursuant to the Land Law dated November 29, 2013;</w:t>
      </w:r>
    </w:p>
    <w:p w14:paraId="2574ED24"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i/>
          <w:iCs/>
          <w:color w:val="000000"/>
          <w:sz w:val="21"/>
          <w:szCs w:val="21"/>
          <w:lang w:val="en-VN"/>
        </w:rPr>
        <w:t>Pursuant to the Construction Law dated June 18, 2014;</w:t>
      </w:r>
    </w:p>
    <w:p w14:paraId="11BA4E1B"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i/>
          <w:iCs/>
          <w:color w:val="000000"/>
          <w:sz w:val="21"/>
          <w:szCs w:val="21"/>
          <w:lang w:val="en-VN"/>
        </w:rPr>
        <w:t>At the request of the Minister of Construction;</w:t>
      </w:r>
    </w:p>
    <w:p w14:paraId="335314FC"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i/>
          <w:iCs/>
          <w:color w:val="000000"/>
          <w:sz w:val="21"/>
          <w:szCs w:val="21"/>
          <w:lang w:val="en-VN"/>
        </w:rPr>
        <w:t>The Government promulgates a Decree on legal land documents for granting construction licenses.</w:t>
      </w:r>
    </w:p>
    <w:p w14:paraId="1558E3B6"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1: Scope</w:t>
      </w:r>
    </w:p>
    <w:p w14:paraId="0E2480A2"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1. This Decree regulates legal land documents serving grant of construction licenses and responsibilities of authorities, organizations and individuals which are relevant to the use of such documents.</w:t>
      </w:r>
    </w:p>
    <w:p w14:paraId="29676D37"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2. Legal land documents that are used as the basis for the establishment of land-use rights of organizations and individuals are specified in land laws.</w:t>
      </w:r>
    </w:p>
    <w:p w14:paraId="7FD5B0D1"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3. Construction licenses shall be granted in accordance with regulations of the construction laws.</w:t>
      </w:r>
    </w:p>
    <w:p w14:paraId="43ED39F6"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2. Regulated entities</w:t>
      </w:r>
    </w:p>
    <w:p w14:paraId="7ED56BE7"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This Decree applies to organizations, households and individuals who apply for construction licenses (hereinafter referred to as “applicant”), construction licensing authorities, and relevant authorities, organizations and individuals.</w:t>
      </w:r>
    </w:p>
    <w:p w14:paraId="5C997F71"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3. Legal land documents for granting construction licenses</w:t>
      </w:r>
    </w:p>
    <w:p w14:paraId="07BAFC14"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Legal land documents for granting a construction license specified in this Decree include:</w:t>
      </w:r>
    </w:p>
    <w:p w14:paraId="2B653F91"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lastRenderedPageBreak/>
        <w:t>1. The certificate of land-use rights granted in accordance with the Land Law 1987, the Land Law 1993, the Law on Amendments to certain articles of the Land Law 2001, and the Land Law 2003.</w:t>
      </w:r>
    </w:p>
    <w:p w14:paraId="66446F45"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2. The certificate of land-use rights, ownership of house and other property on land granted in compliance with the Land Law 2013, Law No. 38/2009/QH12 on Amendments to certain articles of laws related to capital construction.</w:t>
      </w:r>
    </w:p>
    <w:p w14:paraId="6A6DA2D9"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3. The certificate of house ownership and residential land use rights granted in conformity with Decree No. 60/CP dated July 05, 1994 of the Government on house ownership and residential land use rights in urban areas, Decree No. 61/CP dated July 05, 1994 of the Government on housing business.</w:t>
      </w:r>
    </w:p>
    <w:p w14:paraId="0B0D578C"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4. The certificate of house ownership and the certificate of construction ownership granted in accordance with the Housing Ordinance 1991, the Housing Law 2005, Decree No. 81/2001/ND-CP dated November 05, 2001 of the Government on overseas Vietnamese purchasing houses in Vietnam, Decree No. 95/2005/ND-CP dated July 15, 2005 of the Government on granting the certificates of house and construction ownership, Decree No. 90/2006/ND-CP dated September 06, 2006 of the Government with detailed regulations and guidance for the Housing Law, Decree No. 51/2009/ND-CP dated June 03, 2009 providing guidance for certain articles of Resolution No. 19/2008/QH12 dated June 03, 2008 of the National Assembly on piloting permission for foreign organizations and foreigners to purchase and possess houses in Vietnam, Articles 31 and 32 of Decree No. 43/2014/ND-CP dated May 15, 2014 of the Government providing detailed guidance for certain articles of the Land Law, other certificates of house and construction ownership granted in adherence to regulations of land, housing, and construction laws in applicable when they are issued.</w:t>
      </w:r>
    </w:p>
    <w:p w14:paraId="19E43AE0"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5. Documents proving that the applicant is eligible to be granted the certificate of land-use rights, ownership of houses and other property on land but has not been granted a certificate, including: Documents specified in Article 100 of the Land Law 2013, Article 18 of Decree No. 43/2014/ND-CP dated May 15, 2014 of the Government providing guidelines in detail for certain articles of the Land Law 2013, Clause 16 of Article 2 of Decree No. 01/2017/ND-CP dated January 06, 2017, the Law on Amendments to certain Decrees providing guidelines in detail for the Land Law or a written confirmation that the applicant is eligible to be granted the certificate of land use rights, ownership of houses and other property on land which is issued by the People’s Committee of the commune and certified by the land registration authority.</w:t>
      </w:r>
    </w:p>
    <w:p w14:paraId="63B372DF"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6. Land documents in cases where the State allocates and leases out land, and repurposing land from July 01, 2004 without the certificates of land-use rights, ownership of houses and other property on land in accordance with regulations of the Land Law, including: a land allocation decision or land lease decision of the competent authority and a land lease contract (if any) or a document on successful bid for land-use rights or a land-using project or a decision on permission for land repurposing of the competent authority.</w:t>
      </w:r>
    </w:p>
    <w:p w14:paraId="764ACA7F"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lastRenderedPageBreak/>
        <w:t>7. A report on the review and declaration of the use of a land area by organizations and religious facilities without the certificate of land-use rights, ownership of houses and other property on land which will be invested and handled by the People’s Committee of the province where the land area is located in accordance with Article 28 of Decree No. 43/2014/ND-CP dated May 15, 2014 of the Government providing detailed guidance for certain articles of the Land Law.</w:t>
      </w:r>
    </w:p>
    <w:p w14:paraId="2E476326"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8. Documents on the ranking of historic and cultural sites and landscapes for granting a license to build, repair, renovate or relocate them without the certificate of land-use rights, ownership of houses and other property on land in compliance with Article 27 of Decree No. 43/2014/ND-CP dated May 15, 2014 of the Government providing detailed guidance for certain articles of the Land Law 2013.</w:t>
      </w:r>
    </w:p>
    <w:p w14:paraId="03B369C6"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9. The certificate of land-use rights or a written approval for location of a billboard, telecommunication station or antenna in an area where construction and repurposing are not permitted.</w:t>
      </w:r>
    </w:p>
    <w:p w14:paraId="14ED708D"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10. A land lease contract signed by the construction investor and the party which manages and uses the transportation work or a written approval from a transport authority for construction an area dedicated to transportation in compliance with regulations of law.</w:t>
      </w:r>
    </w:p>
    <w:p w14:paraId="74039DB9"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11. A document of the competent State authority allowing the land repurposing in the case where the land user has legal land documents defined in Clauses 1, 2, 3, 4, and 5 of this Article but and applies for a construction license for purposes other than the ones written on those documents.</w:t>
      </w:r>
    </w:p>
    <w:p w14:paraId="49C6AD81"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12. A document of the competent authority which grants the certificate of land-use rights at the request of a construction licensing authority to define the area of each type of land if the land user has one of the legal land documents specified in Clauses 1, 2, 3, 4, and 5 of this Article but it does not state clearly the area of each type of land, which is the basis for granting a construction license.</w:t>
      </w:r>
    </w:p>
    <w:p w14:paraId="65FB0BE5"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4. Responsibilities of relevant ministries, authorities, and units</w:t>
      </w:r>
    </w:p>
    <w:p w14:paraId="6B044ED1"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1. The Ministry of Construction shall take charge and cooperate with the Ministry of Natural Resources and Environment on popularizing, providing guidance, inspecting the use of legal land documents for granting approval for a construction license in compliance with this Decree, and additionally reviewing and completing guiding regulations which consist of the procedure and application for granting approval for a construction license in accordance with the Construction Law.</w:t>
      </w:r>
    </w:p>
    <w:p w14:paraId="1F50A715"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2. The Ministry of Natural Resources and Environment shall review and complete regulations which are relevant to the procedure and application for granting approval for legal land documents in conformity with the Land Law.</w:t>
      </w:r>
    </w:p>
    <w:p w14:paraId="74268D8B"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lastRenderedPageBreak/>
        <w:t>3. The People's Committees of provinces and central-affiliated cities are responsible for training public employees of construction licensing authorities and land management authorities of the provinces in adherence to this Decree during the construction licensing process, inspecting, handling violations against regulations of this Decree and other relevant regulations of law, and submit periodic reports to the Ministry of Construction and the Ministry of Natural Resources and Environment on arising problems ; directing and providing guidance for affiliated entities which include the Departments of Construction and the Department of Natural Resources and Environment to propagate, provide guidance, and list publicly legal land documents defined in this Decree for investors, authorities, organizations, units, and individuals to know and comply with regulations of law.</w:t>
      </w:r>
    </w:p>
    <w:p w14:paraId="06110130"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4. Pursuant to regulations of this Decree and other relevant regulations of law, construction-licensing authorities shall consider granting construction licenses and enable facilitate construction activities.</w:t>
      </w:r>
    </w:p>
    <w:p w14:paraId="5567534C"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5. Applicants are responsible for the accuracy of information in legal land documents in accordance with this Decree when applying for a construction license and shall fulfill land-related financial duties in compliance with regulations of law.</w:t>
      </w:r>
    </w:p>
    <w:p w14:paraId="77F361AC"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5. Implementation</w:t>
      </w:r>
    </w:p>
    <w:p w14:paraId="4EF7063C"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This Decree takes effect from June 25, 2017</w:t>
      </w:r>
    </w:p>
    <w:p w14:paraId="75B70449"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6. Transition clause</w:t>
      </w:r>
    </w:p>
    <w:p w14:paraId="092C5238"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In cases where an application for a construction license is submitted before the effective date of this Decree and a construction license has not been granted, the applicant shall provide additional legal land documents in accordance with regulations of this Decree to be granted a construction license.</w:t>
      </w:r>
    </w:p>
    <w:p w14:paraId="045ADED4"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b/>
          <w:bCs/>
          <w:color w:val="000000"/>
          <w:sz w:val="21"/>
          <w:szCs w:val="21"/>
          <w:lang w:val="en-VN"/>
        </w:rPr>
        <w:t>Article 7. Responsibilities for implementation</w:t>
      </w:r>
    </w:p>
    <w:p w14:paraId="2D230C23"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1. The Minister of Construction is responsible for providing guidance and organizing the implementation of this Decree.</w:t>
      </w:r>
    </w:p>
    <w:p w14:paraId="34955922"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r w:rsidRPr="00224534">
        <w:rPr>
          <w:rFonts w:ascii="Arial" w:hAnsi="Arial" w:cs="Arial"/>
          <w:color w:val="000000"/>
          <w:sz w:val="21"/>
          <w:szCs w:val="21"/>
          <w:lang w:val="en-VN"/>
        </w:rPr>
        <w:t>2. Ministers, Heads of ministerial agencies, Heads of Governmental agencies, Chairmen of the People’s Committees of provinces and central-affiliated cities are responsible for complying with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224534" w:rsidRPr="00224534" w14:paraId="2216C82A" w14:textId="77777777" w:rsidTr="00224534">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92C97" w14:textId="77777777" w:rsidR="00224534" w:rsidRPr="00224534" w:rsidRDefault="00224534" w:rsidP="00224534">
            <w:pPr>
              <w:spacing w:before="100" w:beforeAutospacing="1" w:after="90" w:line="345" w:lineRule="atLeast"/>
              <w:jc w:val="both"/>
              <w:rPr>
                <w:rFonts w:ascii="Arial" w:hAnsi="Arial" w:cs="Arial"/>
                <w:color w:val="000000"/>
                <w:sz w:val="21"/>
                <w:szCs w:val="21"/>
                <w:lang w:val="en-VN"/>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08263" w14:textId="77777777" w:rsidR="00224534" w:rsidRPr="00224534" w:rsidRDefault="00224534" w:rsidP="00224534">
            <w:pPr>
              <w:spacing w:before="100" w:beforeAutospacing="1" w:after="90" w:line="345" w:lineRule="atLeast"/>
              <w:jc w:val="center"/>
              <w:rPr>
                <w:rFonts w:ascii="Arial" w:hAnsi="Arial" w:cs="Arial"/>
                <w:color w:val="000000"/>
                <w:sz w:val="21"/>
                <w:szCs w:val="21"/>
                <w:lang w:val="en-VN"/>
              </w:rPr>
            </w:pPr>
            <w:r w:rsidRPr="00224534">
              <w:rPr>
                <w:rFonts w:ascii="Arial" w:hAnsi="Arial" w:cs="Arial"/>
                <w:b/>
                <w:bCs/>
                <w:color w:val="000000"/>
                <w:sz w:val="21"/>
                <w:szCs w:val="21"/>
                <w:lang w:val="en-VN"/>
              </w:rPr>
              <w:t>PP THE GOVERNMENT </w:t>
            </w:r>
            <w:r w:rsidRPr="00224534">
              <w:rPr>
                <w:rFonts w:ascii="Arial" w:hAnsi="Arial" w:cs="Arial"/>
                <w:b/>
                <w:bCs/>
                <w:color w:val="000000"/>
                <w:sz w:val="21"/>
                <w:szCs w:val="21"/>
                <w:lang w:val="en-VN"/>
              </w:rPr>
              <w:br/>
              <w:t>THE PRIME MINISTER</w:t>
            </w:r>
            <w:r w:rsidRPr="00224534">
              <w:rPr>
                <w:rFonts w:ascii="Arial" w:hAnsi="Arial" w:cs="Arial"/>
                <w:b/>
                <w:bCs/>
                <w:color w:val="000000"/>
                <w:sz w:val="21"/>
                <w:szCs w:val="21"/>
                <w:lang w:val="en-VN"/>
              </w:rPr>
              <w:br/>
            </w:r>
            <w:r w:rsidRPr="00224534">
              <w:rPr>
                <w:rFonts w:ascii="Arial" w:hAnsi="Arial" w:cs="Arial"/>
                <w:b/>
                <w:bCs/>
                <w:color w:val="000000"/>
                <w:sz w:val="21"/>
                <w:szCs w:val="21"/>
                <w:lang w:val="en-VN"/>
              </w:rPr>
              <w:br/>
            </w:r>
            <w:r w:rsidRPr="00224534">
              <w:rPr>
                <w:rFonts w:ascii="Arial" w:hAnsi="Arial" w:cs="Arial"/>
                <w:b/>
                <w:bCs/>
                <w:color w:val="000000"/>
                <w:sz w:val="21"/>
                <w:szCs w:val="21"/>
                <w:lang w:val="en-VN"/>
              </w:rPr>
              <w:br/>
            </w:r>
            <w:r w:rsidRPr="00224534">
              <w:rPr>
                <w:rFonts w:ascii="Arial" w:hAnsi="Arial" w:cs="Arial"/>
                <w:b/>
                <w:bCs/>
                <w:color w:val="000000"/>
                <w:sz w:val="21"/>
                <w:szCs w:val="21"/>
                <w:lang w:val="en-VN"/>
              </w:rPr>
              <w:lastRenderedPageBreak/>
              <w:br/>
            </w:r>
            <w:r w:rsidRPr="00224534">
              <w:rPr>
                <w:rFonts w:ascii="Arial" w:hAnsi="Arial" w:cs="Arial"/>
                <w:b/>
                <w:bCs/>
                <w:color w:val="000000"/>
                <w:sz w:val="21"/>
                <w:szCs w:val="21"/>
                <w:lang w:val="en-VN"/>
              </w:rPr>
              <w:br/>
              <w:t>Nguyen Xuan Phuc</w:t>
            </w:r>
          </w:p>
        </w:tc>
      </w:tr>
    </w:tbl>
    <w:p w14:paraId="29E29492" w14:textId="640DB0AF" w:rsidR="008100A5" w:rsidRPr="00224534" w:rsidRDefault="008100A5" w:rsidP="00224534"/>
    <w:sectPr w:rsidR="008100A5" w:rsidRPr="00224534"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4B7D5" w14:textId="77777777" w:rsidR="0008284A" w:rsidRDefault="0008284A">
      <w:r>
        <w:separator/>
      </w:r>
    </w:p>
  </w:endnote>
  <w:endnote w:type="continuationSeparator" w:id="0">
    <w:p w14:paraId="1CE8900E" w14:textId="77777777" w:rsidR="0008284A" w:rsidRDefault="000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D95A2" w14:textId="77777777" w:rsidR="0008284A" w:rsidRDefault="0008284A">
      <w:r>
        <w:separator/>
      </w:r>
    </w:p>
  </w:footnote>
  <w:footnote w:type="continuationSeparator" w:id="0">
    <w:p w14:paraId="3B58C341" w14:textId="77777777" w:rsidR="0008284A" w:rsidRDefault="0008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8284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E178F"/>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3BAB"/>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71</cp:revision>
  <dcterms:created xsi:type="dcterms:W3CDTF">2024-12-02T03:13:00Z</dcterms:created>
  <dcterms:modified xsi:type="dcterms:W3CDTF">2024-12-13T04:28:00Z</dcterms:modified>
</cp:coreProperties>
</file>