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9D126B" w:rsidRPr="009D126B" w14:paraId="60CCCC5C" w14:textId="77777777" w:rsidTr="009D126B">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BA3896" w14:textId="77777777" w:rsidR="009D126B" w:rsidRPr="009D126B" w:rsidRDefault="009D126B" w:rsidP="009D126B">
            <w:pPr>
              <w:spacing w:before="100" w:beforeAutospacing="1" w:after="90" w:line="345" w:lineRule="atLeast"/>
              <w:jc w:val="center"/>
              <w:rPr>
                <w:rFonts w:ascii="Arial" w:hAnsi="Arial" w:cs="Arial"/>
                <w:color w:val="000000"/>
                <w:sz w:val="21"/>
                <w:szCs w:val="21"/>
                <w:lang w:val="en-VN"/>
              </w:rPr>
            </w:pPr>
            <w:r w:rsidRPr="009D126B">
              <w:rPr>
                <w:rFonts w:ascii="Arial" w:hAnsi="Arial" w:cs="Arial"/>
                <w:b/>
                <w:bCs/>
                <w:color w:val="000000"/>
                <w:sz w:val="21"/>
                <w:szCs w:val="21"/>
                <w:lang w:val="en-VN"/>
              </w:rPr>
              <w:t>STATE BANK OF VIETNAM</w:t>
            </w:r>
            <w:r w:rsidRPr="009D126B">
              <w:rPr>
                <w:rFonts w:ascii="Arial" w:hAnsi="Arial" w:cs="Arial"/>
                <w:b/>
                <w:bCs/>
                <w:color w:val="000000"/>
                <w:sz w:val="21"/>
                <w:szCs w:val="21"/>
                <w:lang w:val="en-VN"/>
              </w:rPr>
              <w:b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19AB48" w14:textId="77777777" w:rsidR="009D126B" w:rsidRPr="009D126B" w:rsidRDefault="009D126B" w:rsidP="009D126B">
            <w:pPr>
              <w:spacing w:before="100" w:beforeAutospacing="1" w:after="90" w:line="345" w:lineRule="atLeast"/>
              <w:jc w:val="center"/>
              <w:rPr>
                <w:rFonts w:ascii="Arial" w:hAnsi="Arial" w:cs="Arial"/>
                <w:color w:val="000000"/>
                <w:sz w:val="21"/>
                <w:szCs w:val="21"/>
                <w:lang w:val="en-VN"/>
              </w:rPr>
            </w:pPr>
            <w:r w:rsidRPr="009D126B">
              <w:rPr>
                <w:rFonts w:ascii="Arial" w:hAnsi="Arial" w:cs="Arial"/>
                <w:b/>
                <w:bCs/>
                <w:color w:val="000000"/>
                <w:sz w:val="21"/>
                <w:szCs w:val="21"/>
                <w:lang w:val="en-VN"/>
              </w:rPr>
              <w:t>SOCIALIST</w:t>
            </w:r>
            <w:r w:rsidRPr="009D126B">
              <w:rPr>
                <w:rFonts w:ascii="Arial" w:hAnsi="Arial" w:cs="Arial"/>
                <w:color w:val="000000"/>
                <w:sz w:val="21"/>
                <w:szCs w:val="21"/>
                <w:lang w:val="en-VN"/>
              </w:rPr>
              <w:t> </w:t>
            </w:r>
            <w:r w:rsidRPr="009D126B">
              <w:rPr>
                <w:rFonts w:ascii="Arial" w:hAnsi="Arial" w:cs="Arial"/>
                <w:b/>
                <w:bCs/>
                <w:color w:val="000000"/>
                <w:sz w:val="21"/>
                <w:szCs w:val="21"/>
                <w:lang w:val="en-VN"/>
              </w:rPr>
              <w:t>REPUBLIC OF VIETNAM</w:t>
            </w:r>
            <w:r w:rsidRPr="009D126B">
              <w:rPr>
                <w:rFonts w:ascii="Arial" w:hAnsi="Arial" w:cs="Arial"/>
                <w:color w:val="000000"/>
                <w:sz w:val="21"/>
                <w:szCs w:val="21"/>
                <w:lang w:val="en-VN"/>
              </w:rPr>
              <w:br/>
            </w:r>
            <w:r w:rsidRPr="009D126B">
              <w:rPr>
                <w:rFonts w:ascii="Arial" w:hAnsi="Arial" w:cs="Arial"/>
                <w:b/>
                <w:bCs/>
                <w:color w:val="000000"/>
                <w:sz w:val="21"/>
                <w:szCs w:val="21"/>
                <w:lang w:val="en-VN"/>
              </w:rPr>
              <w:t>Independence - Freedom - Happiness</w:t>
            </w:r>
            <w:r w:rsidRPr="009D126B">
              <w:rPr>
                <w:rFonts w:ascii="Arial" w:hAnsi="Arial" w:cs="Arial"/>
                <w:b/>
                <w:bCs/>
                <w:color w:val="000000"/>
                <w:sz w:val="21"/>
                <w:szCs w:val="21"/>
                <w:lang w:val="en-VN"/>
              </w:rPr>
              <w:br/>
              <w:t>---------------</w:t>
            </w:r>
          </w:p>
        </w:tc>
      </w:tr>
      <w:tr w:rsidR="009D126B" w:rsidRPr="009D126B" w14:paraId="7AF46BEC" w14:textId="77777777" w:rsidTr="009D126B">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C8D225" w14:textId="77777777" w:rsidR="009D126B" w:rsidRPr="009D126B" w:rsidRDefault="009D126B" w:rsidP="009D126B">
            <w:pPr>
              <w:spacing w:before="100" w:beforeAutospacing="1" w:after="90" w:line="345" w:lineRule="atLeast"/>
              <w:jc w:val="center"/>
              <w:rPr>
                <w:rFonts w:ascii="Arial" w:hAnsi="Arial" w:cs="Arial"/>
                <w:color w:val="000000"/>
                <w:sz w:val="21"/>
                <w:szCs w:val="21"/>
                <w:lang w:val="en-VN"/>
              </w:rPr>
            </w:pPr>
            <w:r w:rsidRPr="009D126B">
              <w:rPr>
                <w:rFonts w:ascii="Arial" w:hAnsi="Arial" w:cs="Arial"/>
                <w:color w:val="000000"/>
                <w:sz w:val="21"/>
                <w:szCs w:val="21"/>
                <w:lang w:val="en-VN"/>
              </w:rPr>
              <w:t>No. 09/2021/TT-NHNN</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329E6C" w14:textId="77777777" w:rsidR="009D126B" w:rsidRPr="009D126B" w:rsidRDefault="009D126B" w:rsidP="009D126B">
            <w:pPr>
              <w:spacing w:before="100" w:beforeAutospacing="1" w:after="90" w:line="345" w:lineRule="atLeast"/>
              <w:jc w:val="right"/>
              <w:rPr>
                <w:rFonts w:ascii="Arial" w:hAnsi="Arial" w:cs="Arial"/>
                <w:color w:val="000000"/>
                <w:sz w:val="21"/>
                <w:szCs w:val="21"/>
                <w:lang w:val="en-VN"/>
              </w:rPr>
            </w:pPr>
            <w:r w:rsidRPr="009D126B">
              <w:rPr>
                <w:rFonts w:ascii="Arial" w:hAnsi="Arial" w:cs="Arial"/>
                <w:i/>
                <w:iCs/>
                <w:color w:val="000000"/>
                <w:sz w:val="21"/>
                <w:szCs w:val="21"/>
                <w:lang w:val="en-VN"/>
              </w:rPr>
              <w:t>Hanoi, July 7, 2021</w:t>
            </w:r>
          </w:p>
        </w:tc>
      </w:tr>
    </w:tbl>
    <w:p w14:paraId="0DDD4302" w14:textId="77777777" w:rsidR="009D126B" w:rsidRPr="009D126B" w:rsidRDefault="009D126B" w:rsidP="009D126B">
      <w:pPr>
        <w:spacing w:before="100" w:beforeAutospacing="1" w:after="90" w:line="345" w:lineRule="atLeast"/>
        <w:jc w:val="center"/>
        <w:rPr>
          <w:rFonts w:ascii="Arial" w:hAnsi="Arial" w:cs="Arial"/>
          <w:color w:val="000000"/>
          <w:sz w:val="21"/>
          <w:szCs w:val="21"/>
          <w:lang w:val="en-VN"/>
        </w:rPr>
      </w:pPr>
    </w:p>
    <w:p w14:paraId="7C606A61" w14:textId="77777777" w:rsidR="009D126B" w:rsidRPr="009D126B" w:rsidRDefault="009D126B" w:rsidP="009D126B">
      <w:pPr>
        <w:spacing w:before="100" w:beforeAutospacing="1" w:after="90" w:line="345" w:lineRule="atLeast"/>
        <w:jc w:val="center"/>
        <w:rPr>
          <w:rFonts w:ascii="Arial" w:hAnsi="Arial" w:cs="Arial"/>
          <w:color w:val="000000"/>
          <w:sz w:val="21"/>
          <w:szCs w:val="21"/>
          <w:lang w:val="en-VN"/>
        </w:rPr>
      </w:pPr>
      <w:r w:rsidRPr="009D126B">
        <w:rPr>
          <w:rFonts w:ascii="Arial" w:hAnsi="Arial" w:cs="Arial"/>
          <w:b/>
          <w:bCs/>
          <w:color w:val="000000"/>
          <w:sz w:val="21"/>
          <w:szCs w:val="21"/>
          <w:lang w:val="en-VN"/>
        </w:rPr>
        <w:t>CIRCULAR</w:t>
      </w:r>
    </w:p>
    <w:p w14:paraId="19DE1675" w14:textId="77777777" w:rsidR="009D126B" w:rsidRPr="009D126B" w:rsidRDefault="009D126B" w:rsidP="009D126B">
      <w:pPr>
        <w:spacing w:before="100" w:beforeAutospacing="1" w:after="90" w:line="345" w:lineRule="atLeast"/>
        <w:jc w:val="center"/>
        <w:rPr>
          <w:rFonts w:ascii="Arial" w:hAnsi="Arial" w:cs="Arial"/>
          <w:color w:val="000000"/>
          <w:sz w:val="21"/>
          <w:szCs w:val="21"/>
          <w:lang w:val="en-VN"/>
        </w:rPr>
      </w:pPr>
      <w:r w:rsidRPr="009D126B">
        <w:rPr>
          <w:rFonts w:ascii="Arial" w:hAnsi="Arial" w:cs="Arial"/>
          <w:color w:val="000000"/>
          <w:sz w:val="21"/>
          <w:szCs w:val="21"/>
          <w:lang w:val="en-VN"/>
        </w:rPr>
        <w:t>AMENDING AND SUPPLEMENTING SEVERAL ARTICLES OF CIRCULAR NO. 42/2015/TT-NHNN DATED DECEMBER 31, 2015 OF THE GOVERNOR OF THE STATE BANK OF VIETNAM ON OPEN MARKET OPERATIONS</w:t>
      </w:r>
    </w:p>
    <w:p w14:paraId="78104CDC" w14:textId="77777777" w:rsidR="009D126B" w:rsidRPr="009D126B" w:rsidRDefault="009D126B" w:rsidP="009D126B">
      <w:pPr>
        <w:spacing w:before="100" w:beforeAutospacing="1" w:after="90" w:line="345" w:lineRule="atLeast"/>
        <w:jc w:val="both"/>
        <w:rPr>
          <w:rFonts w:ascii="Arial" w:hAnsi="Arial" w:cs="Arial"/>
          <w:color w:val="000000"/>
          <w:sz w:val="21"/>
          <w:szCs w:val="21"/>
          <w:lang w:val="en-VN"/>
        </w:rPr>
      </w:pPr>
      <w:r w:rsidRPr="009D126B">
        <w:rPr>
          <w:rFonts w:ascii="Arial" w:hAnsi="Arial" w:cs="Arial"/>
          <w:i/>
          <w:iCs/>
          <w:color w:val="000000"/>
          <w:sz w:val="21"/>
          <w:szCs w:val="21"/>
          <w:lang w:val="en-VN"/>
        </w:rPr>
        <w:t>Pursuant to the Law on State Bank of Vietnam dated June 16, 2010;</w:t>
      </w:r>
    </w:p>
    <w:p w14:paraId="24618344" w14:textId="77777777" w:rsidR="009D126B" w:rsidRPr="009D126B" w:rsidRDefault="009D126B" w:rsidP="009D126B">
      <w:pPr>
        <w:spacing w:before="100" w:beforeAutospacing="1" w:after="90" w:line="345" w:lineRule="atLeast"/>
        <w:jc w:val="both"/>
        <w:rPr>
          <w:rFonts w:ascii="Arial" w:hAnsi="Arial" w:cs="Arial"/>
          <w:color w:val="000000"/>
          <w:sz w:val="21"/>
          <w:szCs w:val="21"/>
          <w:lang w:val="en-VN"/>
        </w:rPr>
      </w:pPr>
      <w:r w:rsidRPr="009D126B">
        <w:rPr>
          <w:rFonts w:ascii="Arial" w:hAnsi="Arial" w:cs="Arial"/>
          <w:i/>
          <w:iCs/>
          <w:color w:val="000000"/>
          <w:sz w:val="21"/>
          <w:szCs w:val="21"/>
          <w:lang w:val="en-VN"/>
        </w:rPr>
        <w:t>Pursuant to the Law on Credit Institutions dated June 16, 2010 and the Law on Amending and Supplementing certain Articles of the Law on Credit Institutions dated November 20, 2017;</w:t>
      </w:r>
    </w:p>
    <w:p w14:paraId="4BF59E8B" w14:textId="77777777" w:rsidR="009D126B" w:rsidRPr="009D126B" w:rsidRDefault="009D126B" w:rsidP="009D126B">
      <w:pPr>
        <w:spacing w:before="100" w:beforeAutospacing="1" w:after="90" w:line="345" w:lineRule="atLeast"/>
        <w:jc w:val="both"/>
        <w:rPr>
          <w:rFonts w:ascii="Arial" w:hAnsi="Arial" w:cs="Arial"/>
          <w:color w:val="000000"/>
          <w:sz w:val="21"/>
          <w:szCs w:val="21"/>
          <w:lang w:val="en-VN"/>
        </w:rPr>
      </w:pPr>
      <w:r w:rsidRPr="009D126B">
        <w:rPr>
          <w:rFonts w:ascii="Arial" w:hAnsi="Arial" w:cs="Arial"/>
          <w:i/>
          <w:iCs/>
          <w:color w:val="000000"/>
          <w:sz w:val="21"/>
          <w:szCs w:val="21"/>
          <w:lang w:val="en-VN"/>
        </w:rPr>
        <w:t>Pursuant to the Government's Decree No. 16/2017/ND-CP dated February 17, 2017, defining the functions, tasks, powers and organizational structure of the State Bank of Vietnam;</w:t>
      </w:r>
    </w:p>
    <w:p w14:paraId="28D02858" w14:textId="77777777" w:rsidR="009D126B" w:rsidRPr="009D126B" w:rsidRDefault="009D126B" w:rsidP="009D126B">
      <w:pPr>
        <w:spacing w:before="100" w:beforeAutospacing="1" w:after="90" w:line="345" w:lineRule="atLeast"/>
        <w:jc w:val="both"/>
        <w:rPr>
          <w:rFonts w:ascii="Arial" w:hAnsi="Arial" w:cs="Arial"/>
          <w:color w:val="000000"/>
          <w:sz w:val="21"/>
          <w:szCs w:val="21"/>
          <w:lang w:val="en-VN"/>
        </w:rPr>
      </w:pPr>
      <w:r w:rsidRPr="009D126B">
        <w:rPr>
          <w:rFonts w:ascii="Arial" w:hAnsi="Arial" w:cs="Arial"/>
          <w:i/>
          <w:iCs/>
          <w:color w:val="000000"/>
          <w:sz w:val="21"/>
          <w:szCs w:val="21"/>
          <w:lang w:val="en-VN"/>
        </w:rPr>
        <w:t>Upon the request of the Director of the Monetary Policy Department;</w:t>
      </w:r>
    </w:p>
    <w:p w14:paraId="54A87662" w14:textId="77777777" w:rsidR="009D126B" w:rsidRPr="009D126B" w:rsidRDefault="009D126B" w:rsidP="009D126B">
      <w:pPr>
        <w:spacing w:before="100" w:beforeAutospacing="1" w:after="90" w:line="345" w:lineRule="atLeast"/>
        <w:jc w:val="both"/>
        <w:rPr>
          <w:rFonts w:ascii="Arial" w:hAnsi="Arial" w:cs="Arial"/>
          <w:color w:val="000000"/>
          <w:sz w:val="21"/>
          <w:szCs w:val="21"/>
          <w:lang w:val="en-VN"/>
        </w:rPr>
      </w:pPr>
      <w:r w:rsidRPr="009D126B">
        <w:rPr>
          <w:rFonts w:ascii="Arial" w:hAnsi="Arial" w:cs="Arial"/>
          <w:i/>
          <w:iCs/>
          <w:color w:val="000000"/>
          <w:sz w:val="21"/>
          <w:szCs w:val="21"/>
          <w:lang w:val="en-VN"/>
        </w:rPr>
        <w:t>The SBV’s Governor hereby promulgates the Circular on amendments and supplements to several Articles of the Circular No. 42/2015/TT-NHNN dated December 31, 2015 of the Governor of the State Bank of Vietnam, regulating open market operations (hereinafter referred to as Circular No. 42/2015/TT-NHNN). </w:t>
      </w:r>
    </w:p>
    <w:p w14:paraId="5DD27334" w14:textId="77777777" w:rsidR="009D126B" w:rsidRPr="009D126B" w:rsidRDefault="009D126B" w:rsidP="009D126B">
      <w:pPr>
        <w:spacing w:before="100" w:beforeAutospacing="1" w:after="90" w:line="345" w:lineRule="atLeast"/>
        <w:jc w:val="both"/>
        <w:rPr>
          <w:rFonts w:ascii="Arial" w:hAnsi="Arial" w:cs="Arial"/>
          <w:color w:val="000000"/>
          <w:sz w:val="21"/>
          <w:szCs w:val="21"/>
          <w:lang w:val="en-VN"/>
        </w:rPr>
      </w:pPr>
      <w:r w:rsidRPr="009D126B">
        <w:rPr>
          <w:rFonts w:ascii="Arial" w:hAnsi="Arial" w:cs="Arial"/>
          <w:b/>
          <w:bCs/>
          <w:color w:val="000000"/>
          <w:sz w:val="21"/>
          <w:szCs w:val="21"/>
          <w:lang w:val="en-VN"/>
        </w:rPr>
        <w:t>Article 1. Amending and supplementing certain Articles of the Circular No. 42/2015/TT-NHNN</w:t>
      </w:r>
    </w:p>
    <w:p w14:paraId="6D9A776A" w14:textId="77777777" w:rsidR="009D126B" w:rsidRPr="009D126B" w:rsidRDefault="009D126B" w:rsidP="009D126B">
      <w:pPr>
        <w:spacing w:before="100" w:beforeAutospacing="1" w:after="90" w:line="345" w:lineRule="atLeast"/>
        <w:jc w:val="both"/>
        <w:rPr>
          <w:rFonts w:ascii="Arial" w:hAnsi="Arial" w:cs="Arial"/>
          <w:color w:val="000000"/>
          <w:sz w:val="21"/>
          <w:szCs w:val="21"/>
          <w:lang w:val="en-VN"/>
        </w:rPr>
      </w:pPr>
      <w:r w:rsidRPr="009D126B">
        <w:rPr>
          <w:rFonts w:ascii="Arial" w:hAnsi="Arial" w:cs="Arial"/>
          <w:color w:val="000000"/>
          <w:sz w:val="21"/>
          <w:szCs w:val="21"/>
          <w:lang w:val="en-VN"/>
        </w:rPr>
        <w:t>1. Adding Clause 3 to Article 14 as follows:</w:t>
      </w:r>
    </w:p>
    <w:p w14:paraId="59E4226E" w14:textId="77777777" w:rsidR="009D126B" w:rsidRPr="009D126B" w:rsidRDefault="009D126B" w:rsidP="009D126B">
      <w:pPr>
        <w:spacing w:before="100" w:beforeAutospacing="1" w:after="90" w:line="345" w:lineRule="atLeast"/>
        <w:jc w:val="both"/>
        <w:rPr>
          <w:rFonts w:ascii="Arial" w:hAnsi="Arial" w:cs="Arial"/>
          <w:color w:val="000000"/>
          <w:sz w:val="21"/>
          <w:szCs w:val="21"/>
          <w:lang w:val="en-VN"/>
        </w:rPr>
      </w:pPr>
      <w:r w:rsidRPr="009D126B">
        <w:rPr>
          <w:rFonts w:ascii="Arial" w:hAnsi="Arial" w:cs="Arial"/>
          <w:color w:val="000000"/>
          <w:sz w:val="21"/>
          <w:szCs w:val="21"/>
          <w:lang w:val="en-VN"/>
        </w:rPr>
        <w:t>“3. For the sale (issuance) of State Bank’s treasury bills through open market operations, the State Bank shall employ the interest rate-based method of bill auction; the State Bank sells (issues) State Bank’s treasury bills by the volume bidding method in case the State Bank needs to announce interest rates of State Bank’s treasury bills in order to achieve objectives of monetary policies.”</w:t>
      </w:r>
    </w:p>
    <w:p w14:paraId="2009B8CB" w14:textId="77777777" w:rsidR="009D126B" w:rsidRPr="009D126B" w:rsidRDefault="009D126B" w:rsidP="009D126B">
      <w:pPr>
        <w:spacing w:before="100" w:beforeAutospacing="1" w:after="90" w:line="345" w:lineRule="atLeast"/>
        <w:jc w:val="both"/>
        <w:rPr>
          <w:rFonts w:ascii="Arial" w:hAnsi="Arial" w:cs="Arial"/>
          <w:color w:val="000000"/>
          <w:sz w:val="21"/>
          <w:szCs w:val="21"/>
          <w:lang w:val="en-VN"/>
        </w:rPr>
      </w:pPr>
      <w:r w:rsidRPr="009D126B">
        <w:rPr>
          <w:rFonts w:ascii="Arial" w:hAnsi="Arial" w:cs="Arial"/>
          <w:color w:val="000000"/>
          <w:sz w:val="21"/>
          <w:szCs w:val="21"/>
          <w:lang w:val="en-VN"/>
        </w:rPr>
        <w:t>2. Amending and supplementing Article 15 as follows:</w:t>
      </w:r>
    </w:p>
    <w:p w14:paraId="30030DA0" w14:textId="77777777" w:rsidR="009D126B" w:rsidRPr="009D126B" w:rsidRDefault="009D126B" w:rsidP="009D126B">
      <w:pPr>
        <w:spacing w:before="100" w:beforeAutospacing="1" w:after="90" w:line="345" w:lineRule="atLeast"/>
        <w:jc w:val="both"/>
        <w:rPr>
          <w:rFonts w:ascii="Arial" w:hAnsi="Arial" w:cs="Arial"/>
          <w:color w:val="000000"/>
          <w:sz w:val="21"/>
          <w:szCs w:val="21"/>
          <w:lang w:val="en-VN"/>
        </w:rPr>
      </w:pPr>
      <w:r w:rsidRPr="009D126B">
        <w:rPr>
          <w:rFonts w:ascii="Arial" w:hAnsi="Arial" w:cs="Arial"/>
          <w:b/>
          <w:bCs/>
          <w:color w:val="000000"/>
          <w:sz w:val="21"/>
          <w:szCs w:val="21"/>
          <w:lang w:val="en-VN"/>
        </w:rPr>
        <w:t>“Article 15. Notices of purchase and sale of security instruments</w:t>
      </w:r>
    </w:p>
    <w:p w14:paraId="002E90B7" w14:textId="77777777" w:rsidR="009D126B" w:rsidRPr="009D126B" w:rsidRDefault="009D126B" w:rsidP="009D126B">
      <w:pPr>
        <w:spacing w:before="100" w:beforeAutospacing="1" w:after="90" w:line="345" w:lineRule="atLeast"/>
        <w:jc w:val="both"/>
        <w:rPr>
          <w:rFonts w:ascii="Arial" w:hAnsi="Arial" w:cs="Arial"/>
          <w:color w:val="000000"/>
          <w:sz w:val="21"/>
          <w:szCs w:val="21"/>
          <w:lang w:val="en-VN"/>
        </w:rPr>
      </w:pPr>
      <w:r w:rsidRPr="009D126B">
        <w:rPr>
          <w:rFonts w:ascii="Arial" w:hAnsi="Arial" w:cs="Arial"/>
          <w:color w:val="000000"/>
          <w:sz w:val="21"/>
          <w:szCs w:val="21"/>
          <w:lang w:val="en-VN"/>
        </w:rPr>
        <w:lastRenderedPageBreak/>
        <w:t>1. Before each open market operation auction, the State Bank (Transaction Office) announces the purchase or sale of security instruments to members. For the sale (issuance) of State Bank’s treasury bills, in addition to notifying members, the Exchange should publish the notice of sale (issuance) of State Bank’s treasury bills on the SBV’s Portal by 13:30 of the bidding day at the latest.</w:t>
      </w:r>
    </w:p>
    <w:p w14:paraId="15726AF0" w14:textId="77777777" w:rsidR="009D126B" w:rsidRPr="009D126B" w:rsidRDefault="009D126B" w:rsidP="009D126B">
      <w:pPr>
        <w:spacing w:before="100" w:beforeAutospacing="1" w:after="90" w:line="345" w:lineRule="atLeast"/>
        <w:jc w:val="both"/>
        <w:rPr>
          <w:rFonts w:ascii="Arial" w:hAnsi="Arial" w:cs="Arial"/>
          <w:color w:val="000000"/>
          <w:sz w:val="21"/>
          <w:szCs w:val="21"/>
          <w:lang w:val="en-VN"/>
        </w:rPr>
      </w:pPr>
      <w:r w:rsidRPr="009D126B">
        <w:rPr>
          <w:rFonts w:ascii="Arial" w:hAnsi="Arial" w:cs="Arial"/>
          <w:color w:val="000000"/>
          <w:sz w:val="21"/>
          <w:szCs w:val="21"/>
          <w:lang w:val="en-VN"/>
        </w:rPr>
        <w:t>2. Each notice shall comprise the following basic information:</w:t>
      </w:r>
    </w:p>
    <w:p w14:paraId="617D4457" w14:textId="77777777" w:rsidR="009D126B" w:rsidRPr="009D126B" w:rsidRDefault="009D126B" w:rsidP="009D126B">
      <w:pPr>
        <w:spacing w:before="100" w:beforeAutospacing="1" w:after="90" w:line="345" w:lineRule="atLeast"/>
        <w:jc w:val="both"/>
        <w:rPr>
          <w:rFonts w:ascii="Arial" w:hAnsi="Arial" w:cs="Arial"/>
          <w:color w:val="000000"/>
          <w:sz w:val="21"/>
          <w:szCs w:val="21"/>
          <w:lang w:val="en-VN"/>
        </w:rPr>
      </w:pPr>
      <w:r w:rsidRPr="009D126B">
        <w:rPr>
          <w:rFonts w:ascii="Arial" w:hAnsi="Arial" w:cs="Arial"/>
          <w:color w:val="000000"/>
          <w:sz w:val="21"/>
          <w:szCs w:val="21"/>
          <w:lang w:val="en-VN"/>
        </w:rPr>
        <w:t>a) Bidding date;</w:t>
      </w:r>
    </w:p>
    <w:p w14:paraId="1DB3ACEF" w14:textId="77777777" w:rsidR="009D126B" w:rsidRPr="009D126B" w:rsidRDefault="009D126B" w:rsidP="009D126B">
      <w:pPr>
        <w:spacing w:before="100" w:beforeAutospacing="1" w:after="90" w:line="345" w:lineRule="atLeast"/>
        <w:jc w:val="both"/>
        <w:rPr>
          <w:rFonts w:ascii="Arial" w:hAnsi="Arial" w:cs="Arial"/>
          <w:color w:val="000000"/>
          <w:sz w:val="21"/>
          <w:szCs w:val="21"/>
          <w:lang w:val="en-VN"/>
        </w:rPr>
      </w:pPr>
      <w:r w:rsidRPr="009D126B">
        <w:rPr>
          <w:rFonts w:ascii="Arial" w:hAnsi="Arial" w:cs="Arial"/>
          <w:color w:val="000000"/>
          <w:sz w:val="21"/>
          <w:szCs w:val="21"/>
          <w:lang w:val="en-VN"/>
        </w:rPr>
        <w:t>b) Bidding method or approach;</w:t>
      </w:r>
    </w:p>
    <w:p w14:paraId="10FE0506" w14:textId="77777777" w:rsidR="009D126B" w:rsidRPr="009D126B" w:rsidRDefault="009D126B" w:rsidP="009D126B">
      <w:pPr>
        <w:spacing w:before="100" w:beforeAutospacing="1" w:after="90" w:line="345" w:lineRule="atLeast"/>
        <w:jc w:val="both"/>
        <w:rPr>
          <w:rFonts w:ascii="Arial" w:hAnsi="Arial" w:cs="Arial"/>
          <w:color w:val="000000"/>
          <w:sz w:val="21"/>
          <w:szCs w:val="21"/>
          <w:lang w:val="en-VN"/>
        </w:rPr>
      </w:pPr>
      <w:r w:rsidRPr="009D126B">
        <w:rPr>
          <w:rFonts w:ascii="Arial" w:hAnsi="Arial" w:cs="Arial"/>
          <w:color w:val="000000"/>
          <w:sz w:val="21"/>
          <w:szCs w:val="21"/>
          <w:lang w:val="en-VN"/>
        </w:rPr>
        <w:t>c) Bid evaluation method or approach;</w:t>
      </w:r>
    </w:p>
    <w:p w14:paraId="7C13737E" w14:textId="77777777" w:rsidR="009D126B" w:rsidRPr="009D126B" w:rsidRDefault="009D126B" w:rsidP="009D126B">
      <w:pPr>
        <w:spacing w:before="100" w:beforeAutospacing="1" w:after="90" w:line="345" w:lineRule="atLeast"/>
        <w:jc w:val="both"/>
        <w:rPr>
          <w:rFonts w:ascii="Arial" w:hAnsi="Arial" w:cs="Arial"/>
          <w:color w:val="000000"/>
          <w:sz w:val="21"/>
          <w:szCs w:val="21"/>
          <w:lang w:val="en-VN"/>
        </w:rPr>
      </w:pPr>
      <w:r w:rsidRPr="009D126B">
        <w:rPr>
          <w:rFonts w:ascii="Arial" w:hAnsi="Arial" w:cs="Arial"/>
          <w:color w:val="000000"/>
          <w:sz w:val="21"/>
          <w:szCs w:val="21"/>
          <w:lang w:val="en-VN"/>
        </w:rPr>
        <w:t>d) Buy/sell approach;</w:t>
      </w:r>
    </w:p>
    <w:p w14:paraId="1142B172" w14:textId="77777777" w:rsidR="009D126B" w:rsidRPr="009D126B" w:rsidRDefault="009D126B" w:rsidP="009D126B">
      <w:pPr>
        <w:spacing w:before="100" w:beforeAutospacing="1" w:after="90" w:line="345" w:lineRule="atLeast"/>
        <w:jc w:val="both"/>
        <w:rPr>
          <w:rFonts w:ascii="Arial" w:hAnsi="Arial" w:cs="Arial"/>
          <w:color w:val="000000"/>
          <w:sz w:val="21"/>
          <w:szCs w:val="21"/>
          <w:lang w:val="en-VN"/>
        </w:rPr>
      </w:pPr>
      <w:r w:rsidRPr="009D126B">
        <w:rPr>
          <w:rFonts w:ascii="Arial" w:hAnsi="Arial" w:cs="Arial"/>
          <w:color w:val="000000"/>
          <w:sz w:val="21"/>
          <w:szCs w:val="21"/>
          <w:lang w:val="en-VN"/>
        </w:rPr>
        <w:t>dd) Volume of security instruments to be bought or sold at the settlement price or at par value (except for the case where the State Bank does not notify the volume of security instruments to be bought or sold in advance);</w:t>
      </w:r>
    </w:p>
    <w:p w14:paraId="469E21E1" w14:textId="77777777" w:rsidR="009D126B" w:rsidRPr="009D126B" w:rsidRDefault="009D126B" w:rsidP="009D126B">
      <w:pPr>
        <w:spacing w:before="100" w:beforeAutospacing="1" w:after="90" w:line="345" w:lineRule="atLeast"/>
        <w:jc w:val="both"/>
        <w:rPr>
          <w:rFonts w:ascii="Arial" w:hAnsi="Arial" w:cs="Arial"/>
          <w:color w:val="000000"/>
          <w:sz w:val="21"/>
          <w:szCs w:val="21"/>
          <w:lang w:val="en-VN"/>
        </w:rPr>
      </w:pPr>
      <w:r w:rsidRPr="009D126B">
        <w:rPr>
          <w:rFonts w:ascii="Arial" w:hAnsi="Arial" w:cs="Arial"/>
          <w:color w:val="000000"/>
          <w:sz w:val="21"/>
          <w:szCs w:val="21"/>
          <w:lang w:val="en-VN"/>
        </w:rPr>
        <w:t>e) Security instruments to be bought or sold;</w:t>
      </w:r>
    </w:p>
    <w:p w14:paraId="3B8688CF" w14:textId="77777777" w:rsidR="009D126B" w:rsidRPr="009D126B" w:rsidRDefault="009D126B" w:rsidP="009D126B">
      <w:pPr>
        <w:spacing w:before="100" w:beforeAutospacing="1" w:after="90" w:line="345" w:lineRule="atLeast"/>
        <w:jc w:val="both"/>
        <w:rPr>
          <w:rFonts w:ascii="Arial" w:hAnsi="Arial" w:cs="Arial"/>
          <w:color w:val="000000"/>
          <w:sz w:val="21"/>
          <w:szCs w:val="21"/>
          <w:lang w:val="en-VN"/>
        </w:rPr>
      </w:pPr>
      <w:r w:rsidRPr="009D126B">
        <w:rPr>
          <w:rFonts w:ascii="Arial" w:hAnsi="Arial" w:cs="Arial"/>
          <w:color w:val="000000"/>
          <w:sz w:val="21"/>
          <w:szCs w:val="21"/>
          <w:lang w:val="en-VN"/>
        </w:rPr>
        <w:t>g) Rate of trading of security instruments (in case where the State Bank buys);</w:t>
      </w:r>
    </w:p>
    <w:p w14:paraId="333B3F66" w14:textId="77777777" w:rsidR="009D126B" w:rsidRPr="009D126B" w:rsidRDefault="009D126B" w:rsidP="009D126B">
      <w:pPr>
        <w:spacing w:before="100" w:beforeAutospacing="1" w:after="90" w:line="345" w:lineRule="atLeast"/>
        <w:jc w:val="both"/>
        <w:rPr>
          <w:rFonts w:ascii="Arial" w:hAnsi="Arial" w:cs="Arial"/>
          <w:color w:val="000000"/>
          <w:sz w:val="21"/>
          <w:szCs w:val="21"/>
          <w:lang w:val="en-VN"/>
        </w:rPr>
      </w:pPr>
      <w:r w:rsidRPr="009D126B">
        <w:rPr>
          <w:rFonts w:ascii="Arial" w:hAnsi="Arial" w:cs="Arial"/>
          <w:color w:val="000000"/>
          <w:sz w:val="21"/>
          <w:szCs w:val="21"/>
          <w:lang w:val="en-VN"/>
        </w:rPr>
        <w:t>h) Tenure of security instruments;</w:t>
      </w:r>
    </w:p>
    <w:p w14:paraId="02FBE980" w14:textId="77777777" w:rsidR="009D126B" w:rsidRPr="009D126B" w:rsidRDefault="009D126B" w:rsidP="009D126B">
      <w:pPr>
        <w:spacing w:before="100" w:beforeAutospacing="1" w:after="90" w:line="345" w:lineRule="atLeast"/>
        <w:jc w:val="both"/>
        <w:rPr>
          <w:rFonts w:ascii="Arial" w:hAnsi="Arial" w:cs="Arial"/>
          <w:color w:val="000000"/>
          <w:sz w:val="21"/>
          <w:szCs w:val="21"/>
          <w:lang w:val="en-VN"/>
        </w:rPr>
      </w:pPr>
      <w:r w:rsidRPr="009D126B">
        <w:rPr>
          <w:rFonts w:ascii="Arial" w:hAnsi="Arial" w:cs="Arial"/>
          <w:color w:val="000000"/>
          <w:sz w:val="21"/>
          <w:szCs w:val="21"/>
          <w:lang w:val="en-VN"/>
        </w:rPr>
        <w:t>i) Date of issuance of security instruments (in case where the State Bank sells);</w:t>
      </w:r>
    </w:p>
    <w:p w14:paraId="153984E1" w14:textId="77777777" w:rsidR="009D126B" w:rsidRPr="009D126B" w:rsidRDefault="009D126B" w:rsidP="009D126B">
      <w:pPr>
        <w:spacing w:before="100" w:beforeAutospacing="1" w:after="90" w:line="345" w:lineRule="atLeast"/>
        <w:jc w:val="both"/>
        <w:rPr>
          <w:rFonts w:ascii="Arial" w:hAnsi="Arial" w:cs="Arial"/>
          <w:color w:val="000000"/>
          <w:sz w:val="21"/>
          <w:szCs w:val="21"/>
          <w:lang w:val="en-VN"/>
        </w:rPr>
      </w:pPr>
      <w:r w:rsidRPr="009D126B">
        <w:rPr>
          <w:rFonts w:ascii="Arial" w:hAnsi="Arial" w:cs="Arial"/>
          <w:color w:val="000000"/>
          <w:sz w:val="21"/>
          <w:szCs w:val="21"/>
          <w:lang w:val="en-VN"/>
        </w:rPr>
        <w:t>k) Approach to payment of interest on security instruments (in case where the State Bank sells);</w:t>
      </w:r>
    </w:p>
    <w:p w14:paraId="5AAB7A1D" w14:textId="77777777" w:rsidR="009D126B" w:rsidRPr="009D126B" w:rsidRDefault="009D126B" w:rsidP="009D126B">
      <w:pPr>
        <w:spacing w:before="100" w:beforeAutospacing="1" w:after="90" w:line="345" w:lineRule="atLeast"/>
        <w:jc w:val="both"/>
        <w:rPr>
          <w:rFonts w:ascii="Arial" w:hAnsi="Arial" w:cs="Arial"/>
          <w:color w:val="000000"/>
          <w:sz w:val="21"/>
          <w:szCs w:val="21"/>
          <w:lang w:val="en-VN"/>
        </w:rPr>
      </w:pPr>
      <w:r w:rsidRPr="009D126B">
        <w:rPr>
          <w:rFonts w:ascii="Arial" w:hAnsi="Arial" w:cs="Arial"/>
          <w:color w:val="000000"/>
          <w:sz w:val="21"/>
          <w:szCs w:val="21"/>
          <w:lang w:val="en-VN"/>
        </w:rPr>
        <w:t>l) Due date of payment of security instruments (in case where the State Bank sells);</w:t>
      </w:r>
    </w:p>
    <w:p w14:paraId="7F789B39" w14:textId="77777777" w:rsidR="009D126B" w:rsidRPr="009D126B" w:rsidRDefault="009D126B" w:rsidP="009D126B">
      <w:pPr>
        <w:spacing w:before="100" w:beforeAutospacing="1" w:after="90" w:line="345" w:lineRule="atLeast"/>
        <w:jc w:val="both"/>
        <w:rPr>
          <w:rFonts w:ascii="Arial" w:hAnsi="Arial" w:cs="Arial"/>
          <w:color w:val="000000"/>
          <w:sz w:val="21"/>
          <w:szCs w:val="21"/>
          <w:lang w:val="en-VN"/>
        </w:rPr>
      </w:pPr>
      <w:r w:rsidRPr="009D126B">
        <w:rPr>
          <w:rFonts w:ascii="Arial" w:hAnsi="Arial" w:cs="Arial"/>
          <w:color w:val="000000"/>
          <w:sz w:val="21"/>
          <w:szCs w:val="21"/>
          <w:lang w:val="en-VN"/>
        </w:rPr>
        <w:t>m) Remaining maturity period of security instruments (in case where the State Bank sells);</w:t>
      </w:r>
    </w:p>
    <w:p w14:paraId="50E7E11A" w14:textId="77777777" w:rsidR="009D126B" w:rsidRPr="009D126B" w:rsidRDefault="009D126B" w:rsidP="009D126B">
      <w:pPr>
        <w:spacing w:before="100" w:beforeAutospacing="1" w:after="90" w:line="345" w:lineRule="atLeast"/>
        <w:jc w:val="both"/>
        <w:rPr>
          <w:rFonts w:ascii="Arial" w:hAnsi="Arial" w:cs="Arial"/>
          <w:color w:val="000000"/>
          <w:sz w:val="21"/>
          <w:szCs w:val="21"/>
          <w:lang w:val="en-VN"/>
        </w:rPr>
      </w:pPr>
      <w:r w:rsidRPr="009D126B">
        <w:rPr>
          <w:rFonts w:ascii="Arial" w:hAnsi="Arial" w:cs="Arial"/>
          <w:color w:val="000000"/>
          <w:sz w:val="21"/>
          <w:szCs w:val="21"/>
          <w:lang w:val="en-VN"/>
        </w:rPr>
        <w:t>n) Call/put period (the number of days);</w:t>
      </w:r>
    </w:p>
    <w:p w14:paraId="6AB384F9" w14:textId="77777777" w:rsidR="009D126B" w:rsidRPr="009D126B" w:rsidRDefault="009D126B" w:rsidP="009D126B">
      <w:pPr>
        <w:spacing w:before="100" w:beforeAutospacing="1" w:after="90" w:line="345" w:lineRule="atLeast"/>
        <w:jc w:val="both"/>
        <w:rPr>
          <w:rFonts w:ascii="Arial" w:hAnsi="Arial" w:cs="Arial"/>
          <w:color w:val="000000"/>
          <w:sz w:val="21"/>
          <w:szCs w:val="21"/>
          <w:lang w:val="en-VN"/>
        </w:rPr>
      </w:pPr>
      <w:r w:rsidRPr="009D126B">
        <w:rPr>
          <w:rFonts w:ascii="Arial" w:hAnsi="Arial" w:cs="Arial"/>
          <w:color w:val="000000"/>
          <w:sz w:val="21"/>
          <w:szCs w:val="21"/>
          <w:lang w:val="en-VN"/>
        </w:rPr>
        <w:t>o) Interest rate that the State Bank applies to buy/sell transactions (in case of the volume bid);</w:t>
      </w:r>
    </w:p>
    <w:p w14:paraId="04013F32" w14:textId="77777777" w:rsidR="009D126B" w:rsidRPr="009D126B" w:rsidRDefault="009D126B" w:rsidP="009D126B">
      <w:pPr>
        <w:spacing w:before="100" w:beforeAutospacing="1" w:after="90" w:line="345" w:lineRule="atLeast"/>
        <w:jc w:val="both"/>
        <w:rPr>
          <w:rFonts w:ascii="Arial" w:hAnsi="Arial" w:cs="Arial"/>
          <w:color w:val="000000"/>
          <w:sz w:val="21"/>
          <w:szCs w:val="21"/>
          <w:lang w:val="en-VN"/>
        </w:rPr>
      </w:pPr>
      <w:r w:rsidRPr="009D126B">
        <w:rPr>
          <w:rFonts w:ascii="Arial" w:hAnsi="Arial" w:cs="Arial"/>
          <w:color w:val="000000"/>
          <w:sz w:val="21"/>
          <w:szCs w:val="21"/>
          <w:lang w:val="en-VN"/>
        </w:rPr>
        <w:t>p) Interest rates of security instructions issued on the primary market (in case where the State Bank sells);</w:t>
      </w:r>
    </w:p>
    <w:p w14:paraId="3EE20282" w14:textId="77777777" w:rsidR="009D126B" w:rsidRPr="009D126B" w:rsidRDefault="009D126B" w:rsidP="009D126B">
      <w:pPr>
        <w:spacing w:before="100" w:beforeAutospacing="1" w:after="90" w:line="345" w:lineRule="atLeast"/>
        <w:jc w:val="both"/>
        <w:rPr>
          <w:rFonts w:ascii="Arial" w:hAnsi="Arial" w:cs="Arial"/>
          <w:color w:val="000000"/>
          <w:sz w:val="21"/>
          <w:szCs w:val="21"/>
          <w:lang w:val="en-VN"/>
        </w:rPr>
      </w:pPr>
      <w:r w:rsidRPr="009D126B">
        <w:rPr>
          <w:rFonts w:ascii="Arial" w:hAnsi="Arial" w:cs="Arial"/>
          <w:color w:val="000000"/>
          <w:sz w:val="21"/>
          <w:szCs w:val="21"/>
          <w:lang w:val="en-VN"/>
        </w:rPr>
        <w:t>q) Duration of acceptance of bids from members;</w:t>
      </w:r>
    </w:p>
    <w:p w14:paraId="7F87088B" w14:textId="77777777" w:rsidR="009D126B" w:rsidRPr="009D126B" w:rsidRDefault="009D126B" w:rsidP="009D126B">
      <w:pPr>
        <w:spacing w:before="100" w:beforeAutospacing="1" w:after="90" w:line="345" w:lineRule="atLeast"/>
        <w:jc w:val="both"/>
        <w:rPr>
          <w:rFonts w:ascii="Arial" w:hAnsi="Arial" w:cs="Arial"/>
          <w:color w:val="000000"/>
          <w:sz w:val="21"/>
          <w:szCs w:val="21"/>
          <w:lang w:val="en-VN"/>
        </w:rPr>
      </w:pPr>
      <w:r w:rsidRPr="009D126B">
        <w:rPr>
          <w:rFonts w:ascii="Arial" w:hAnsi="Arial" w:cs="Arial"/>
          <w:color w:val="000000"/>
          <w:sz w:val="21"/>
          <w:szCs w:val="21"/>
          <w:lang w:val="en-VN"/>
        </w:rPr>
        <w:t>r) Bid closing date.”</w:t>
      </w:r>
    </w:p>
    <w:p w14:paraId="7A5FBC19" w14:textId="77777777" w:rsidR="009D126B" w:rsidRPr="009D126B" w:rsidRDefault="009D126B" w:rsidP="009D126B">
      <w:pPr>
        <w:spacing w:before="100" w:beforeAutospacing="1" w:after="90" w:line="345" w:lineRule="atLeast"/>
        <w:jc w:val="both"/>
        <w:rPr>
          <w:rFonts w:ascii="Arial" w:hAnsi="Arial" w:cs="Arial"/>
          <w:color w:val="000000"/>
          <w:sz w:val="21"/>
          <w:szCs w:val="21"/>
          <w:lang w:val="en-VN"/>
        </w:rPr>
      </w:pPr>
      <w:r w:rsidRPr="009D126B">
        <w:rPr>
          <w:rFonts w:ascii="Arial" w:hAnsi="Arial" w:cs="Arial"/>
          <w:color w:val="000000"/>
          <w:sz w:val="21"/>
          <w:szCs w:val="21"/>
          <w:lang w:val="en-VN"/>
        </w:rPr>
        <w:lastRenderedPageBreak/>
        <w:t>3. Amending and supplementing point b of clause 1 of Article 25 as follows:</w:t>
      </w:r>
    </w:p>
    <w:p w14:paraId="45BFF1CF" w14:textId="77777777" w:rsidR="009D126B" w:rsidRPr="009D126B" w:rsidRDefault="009D126B" w:rsidP="009D126B">
      <w:pPr>
        <w:spacing w:before="100" w:beforeAutospacing="1" w:after="90" w:line="345" w:lineRule="atLeast"/>
        <w:jc w:val="both"/>
        <w:rPr>
          <w:rFonts w:ascii="Arial" w:hAnsi="Arial" w:cs="Arial"/>
          <w:color w:val="000000"/>
          <w:sz w:val="21"/>
          <w:szCs w:val="21"/>
          <w:lang w:val="en-VN"/>
        </w:rPr>
      </w:pPr>
      <w:r w:rsidRPr="009D126B">
        <w:rPr>
          <w:rFonts w:ascii="Arial" w:hAnsi="Arial" w:cs="Arial"/>
          <w:color w:val="000000"/>
          <w:sz w:val="21"/>
          <w:szCs w:val="21"/>
          <w:lang w:val="en-VN"/>
        </w:rPr>
        <w:t>“b) Proposing and requesting the Head of the Executive Board to issue the decision on types of security instruments sold/bought, buy/sell volume, buy/sell method, bidding method, bid evaluation method, call/put time limit and interest rate applied in case of buying/selling security instruments; notifying the Exchange of the aforesaid information after receipt of approval from the Head of the Executive Board.”</w:t>
      </w:r>
    </w:p>
    <w:p w14:paraId="6FAC6D3C" w14:textId="77777777" w:rsidR="009D126B" w:rsidRPr="009D126B" w:rsidRDefault="009D126B" w:rsidP="009D126B">
      <w:pPr>
        <w:spacing w:before="100" w:beforeAutospacing="1" w:after="90" w:line="345" w:lineRule="atLeast"/>
        <w:jc w:val="both"/>
        <w:rPr>
          <w:rFonts w:ascii="Arial" w:hAnsi="Arial" w:cs="Arial"/>
          <w:color w:val="000000"/>
          <w:sz w:val="21"/>
          <w:szCs w:val="21"/>
          <w:lang w:val="en-VN"/>
        </w:rPr>
      </w:pPr>
      <w:r w:rsidRPr="009D126B">
        <w:rPr>
          <w:rFonts w:ascii="Arial" w:hAnsi="Arial" w:cs="Arial"/>
          <w:color w:val="000000"/>
          <w:sz w:val="21"/>
          <w:szCs w:val="21"/>
          <w:lang w:val="en-VN"/>
        </w:rPr>
        <w:t>4. Amending and supplementing point d of clause 2 of Article 25 as follows:</w:t>
      </w:r>
    </w:p>
    <w:p w14:paraId="44E78B3C" w14:textId="77777777" w:rsidR="009D126B" w:rsidRPr="009D126B" w:rsidRDefault="009D126B" w:rsidP="009D126B">
      <w:pPr>
        <w:spacing w:before="100" w:beforeAutospacing="1" w:after="90" w:line="345" w:lineRule="atLeast"/>
        <w:jc w:val="both"/>
        <w:rPr>
          <w:rFonts w:ascii="Arial" w:hAnsi="Arial" w:cs="Arial"/>
          <w:color w:val="000000"/>
          <w:sz w:val="21"/>
          <w:szCs w:val="21"/>
          <w:lang w:val="en-VN"/>
        </w:rPr>
      </w:pPr>
      <w:r w:rsidRPr="009D126B">
        <w:rPr>
          <w:rFonts w:ascii="Arial" w:hAnsi="Arial" w:cs="Arial"/>
          <w:color w:val="000000"/>
          <w:sz w:val="21"/>
          <w:szCs w:val="21"/>
          <w:lang w:val="en-VN"/>
        </w:rPr>
        <w:t>“d) Performing trades in security instruments between the State Bank and its members as approved by the Head of the Executive Board; publishing the notice of sale (issuance) of the State Bank’s treasury bills in accordance with this Circular.”</w:t>
      </w:r>
    </w:p>
    <w:p w14:paraId="01D56121" w14:textId="77777777" w:rsidR="009D126B" w:rsidRPr="009D126B" w:rsidRDefault="009D126B" w:rsidP="009D126B">
      <w:pPr>
        <w:spacing w:before="100" w:beforeAutospacing="1" w:after="90" w:line="345" w:lineRule="atLeast"/>
        <w:jc w:val="both"/>
        <w:rPr>
          <w:rFonts w:ascii="Arial" w:hAnsi="Arial" w:cs="Arial"/>
          <w:color w:val="000000"/>
          <w:sz w:val="21"/>
          <w:szCs w:val="21"/>
          <w:lang w:val="en-VN"/>
        </w:rPr>
      </w:pPr>
      <w:r w:rsidRPr="009D126B">
        <w:rPr>
          <w:rFonts w:ascii="Arial" w:hAnsi="Arial" w:cs="Arial"/>
          <w:b/>
          <w:bCs/>
          <w:color w:val="000000"/>
          <w:sz w:val="21"/>
          <w:szCs w:val="21"/>
          <w:lang w:val="en-VN"/>
        </w:rPr>
        <w:t>Article 2. Implementation responsibilities</w:t>
      </w:r>
      <w:r w:rsidRPr="009D126B">
        <w:rPr>
          <w:rFonts w:ascii="Arial" w:hAnsi="Arial" w:cs="Arial"/>
          <w:color w:val="000000"/>
          <w:sz w:val="21"/>
          <w:szCs w:val="21"/>
          <w:lang w:val="en-VN"/>
        </w:rPr>
        <w:t> </w:t>
      </w:r>
    </w:p>
    <w:p w14:paraId="71FBEAC7" w14:textId="77777777" w:rsidR="009D126B" w:rsidRPr="009D126B" w:rsidRDefault="009D126B" w:rsidP="009D126B">
      <w:pPr>
        <w:spacing w:before="100" w:beforeAutospacing="1" w:after="90" w:line="345" w:lineRule="atLeast"/>
        <w:jc w:val="both"/>
        <w:rPr>
          <w:rFonts w:ascii="Arial" w:hAnsi="Arial" w:cs="Arial"/>
          <w:color w:val="000000"/>
          <w:sz w:val="21"/>
          <w:szCs w:val="21"/>
          <w:lang w:val="en-VN"/>
        </w:rPr>
      </w:pPr>
      <w:r w:rsidRPr="009D126B">
        <w:rPr>
          <w:rFonts w:ascii="Arial" w:hAnsi="Arial" w:cs="Arial"/>
          <w:color w:val="000000"/>
          <w:sz w:val="21"/>
          <w:szCs w:val="21"/>
          <w:lang w:val="en-VN"/>
        </w:rPr>
        <w:t>The Chief of the Office, Director of Monetary Policy Department, Heads of the State Bank’s affiliates, credit institutions, foreign bank branches shall be responsible for implementing this Circular./.</w:t>
      </w:r>
    </w:p>
    <w:p w14:paraId="686AD28C" w14:textId="77777777" w:rsidR="009D126B" w:rsidRPr="009D126B" w:rsidRDefault="009D126B" w:rsidP="009D126B">
      <w:pPr>
        <w:spacing w:before="100" w:beforeAutospacing="1" w:after="90" w:line="345" w:lineRule="atLeast"/>
        <w:jc w:val="both"/>
        <w:rPr>
          <w:rFonts w:ascii="Arial" w:hAnsi="Arial" w:cs="Arial"/>
          <w:color w:val="000000"/>
          <w:sz w:val="21"/>
          <w:szCs w:val="21"/>
          <w:lang w:val="en-VN"/>
        </w:rPr>
      </w:pPr>
      <w:r w:rsidRPr="009D126B">
        <w:rPr>
          <w:rFonts w:ascii="Arial" w:hAnsi="Arial" w:cs="Arial"/>
          <w:b/>
          <w:bCs/>
          <w:color w:val="000000"/>
          <w:sz w:val="21"/>
          <w:szCs w:val="21"/>
          <w:lang w:val="en-VN"/>
        </w:rPr>
        <w:t>Article 3. Entry into force</w:t>
      </w:r>
    </w:p>
    <w:p w14:paraId="651C382C" w14:textId="77777777" w:rsidR="009D126B" w:rsidRPr="009D126B" w:rsidRDefault="009D126B" w:rsidP="009D126B">
      <w:pPr>
        <w:spacing w:before="100" w:beforeAutospacing="1" w:after="90" w:line="345" w:lineRule="atLeast"/>
        <w:jc w:val="both"/>
        <w:rPr>
          <w:rFonts w:ascii="Arial" w:hAnsi="Arial" w:cs="Arial"/>
          <w:color w:val="000000"/>
          <w:sz w:val="21"/>
          <w:szCs w:val="21"/>
          <w:lang w:val="en-VN"/>
        </w:rPr>
      </w:pPr>
      <w:r w:rsidRPr="009D126B">
        <w:rPr>
          <w:rFonts w:ascii="Arial" w:hAnsi="Arial" w:cs="Arial"/>
          <w:color w:val="000000"/>
          <w:sz w:val="21"/>
          <w:szCs w:val="21"/>
          <w:lang w:val="en-VN"/>
        </w:rPr>
        <w:t>This Circular shall take effect as of August 25, 2021./.</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9D126B" w:rsidRPr="009D126B" w14:paraId="5A993209" w14:textId="77777777" w:rsidTr="009D126B">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A3DEBB" w14:textId="77777777" w:rsidR="009D126B" w:rsidRPr="009D126B" w:rsidRDefault="009D126B" w:rsidP="009D126B">
            <w:pPr>
              <w:spacing w:before="100" w:beforeAutospacing="1" w:after="90" w:line="345" w:lineRule="atLeast"/>
              <w:jc w:val="both"/>
              <w:rPr>
                <w:rFonts w:ascii="Arial" w:hAnsi="Arial" w:cs="Arial"/>
                <w:color w:val="000000"/>
                <w:sz w:val="21"/>
                <w:szCs w:val="21"/>
                <w:lang w:val="en-VN"/>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A4713E" w14:textId="77777777" w:rsidR="009D126B" w:rsidRPr="009D126B" w:rsidRDefault="009D126B" w:rsidP="009D126B">
            <w:pPr>
              <w:spacing w:before="100" w:beforeAutospacing="1" w:after="90" w:line="345" w:lineRule="atLeast"/>
              <w:jc w:val="center"/>
              <w:rPr>
                <w:rFonts w:ascii="Arial" w:hAnsi="Arial" w:cs="Arial"/>
                <w:color w:val="000000"/>
                <w:sz w:val="21"/>
                <w:szCs w:val="21"/>
                <w:lang w:val="en-VN"/>
              </w:rPr>
            </w:pPr>
            <w:r w:rsidRPr="009D126B">
              <w:rPr>
                <w:rFonts w:ascii="Arial" w:hAnsi="Arial" w:cs="Arial"/>
                <w:b/>
                <w:bCs/>
                <w:color w:val="000000"/>
                <w:sz w:val="21"/>
                <w:szCs w:val="21"/>
                <w:lang w:val="en-VN"/>
              </w:rPr>
              <w:t>GOVERNOR</w:t>
            </w:r>
            <w:r w:rsidRPr="009D126B">
              <w:rPr>
                <w:rFonts w:ascii="Arial" w:hAnsi="Arial" w:cs="Arial"/>
                <w:b/>
                <w:bCs/>
                <w:color w:val="000000"/>
                <w:sz w:val="21"/>
                <w:szCs w:val="21"/>
                <w:lang w:val="en-VN"/>
              </w:rPr>
              <w:br/>
            </w:r>
            <w:r w:rsidRPr="009D126B">
              <w:rPr>
                <w:rFonts w:ascii="Arial" w:hAnsi="Arial" w:cs="Arial"/>
                <w:b/>
                <w:bCs/>
                <w:color w:val="000000"/>
                <w:sz w:val="21"/>
                <w:szCs w:val="21"/>
                <w:lang w:val="en-VN"/>
              </w:rPr>
              <w:br/>
            </w:r>
            <w:r w:rsidRPr="009D126B">
              <w:rPr>
                <w:rFonts w:ascii="Arial" w:hAnsi="Arial" w:cs="Arial"/>
                <w:b/>
                <w:bCs/>
                <w:color w:val="000000"/>
                <w:sz w:val="21"/>
                <w:szCs w:val="21"/>
                <w:lang w:val="en-VN"/>
              </w:rPr>
              <w:br/>
            </w:r>
            <w:r w:rsidRPr="009D126B">
              <w:rPr>
                <w:rFonts w:ascii="Arial" w:hAnsi="Arial" w:cs="Arial"/>
                <w:b/>
                <w:bCs/>
                <w:color w:val="000000"/>
                <w:sz w:val="21"/>
                <w:szCs w:val="21"/>
                <w:lang w:val="en-VN"/>
              </w:rPr>
              <w:br/>
            </w:r>
            <w:r w:rsidRPr="009D126B">
              <w:rPr>
                <w:rFonts w:ascii="Arial" w:hAnsi="Arial" w:cs="Arial"/>
                <w:b/>
                <w:bCs/>
                <w:color w:val="000000"/>
                <w:sz w:val="21"/>
                <w:szCs w:val="21"/>
                <w:lang w:val="en-VN"/>
              </w:rPr>
              <w:br/>
              <w:t>Nguyen Thi Hong</w:t>
            </w:r>
          </w:p>
        </w:tc>
      </w:tr>
    </w:tbl>
    <w:p w14:paraId="29E29492" w14:textId="640DB0AF" w:rsidR="008100A5" w:rsidRPr="009D126B" w:rsidRDefault="008100A5" w:rsidP="009D126B"/>
    <w:sectPr w:rsidR="008100A5" w:rsidRPr="009D126B" w:rsidSect="00EA6970">
      <w:headerReference w:type="even" r:id="rId6"/>
      <w:headerReference w:type="default" r:id="rId7"/>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3D9788" w14:textId="77777777" w:rsidR="00C971A7" w:rsidRDefault="00C971A7">
      <w:r>
        <w:separator/>
      </w:r>
    </w:p>
  </w:endnote>
  <w:endnote w:type="continuationSeparator" w:id="0">
    <w:p w14:paraId="63DAF3E2" w14:textId="77777777" w:rsidR="00C971A7" w:rsidRDefault="00C97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40AB25" w14:textId="77777777" w:rsidR="00C971A7" w:rsidRDefault="00C971A7">
      <w:r>
        <w:separator/>
      </w:r>
    </w:p>
  </w:footnote>
  <w:footnote w:type="continuationSeparator" w:id="0">
    <w:p w14:paraId="14EBB742" w14:textId="77777777" w:rsidR="00C971A7" w:rsidRDefault="00C971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C971A7"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13BA3"/>
    <w:rsid w:val="00030AF2"/>
    <w:rsid w:val="0008284A"/>
    <w:rsid w:val="000834E6"/>
    <w:rsid w:val="0009766F"/>
    <w:rsid w:val="000C068E"/>
    <w:rsid w:val="000C46F6"/>
    <w:rsid w:val="000E5356"/>
    <w:rsid w:val="000F2E36"/>
    <w:rsid w:val="001115F2"/>
    <w:rsid w:val="001128F8"/>
    <w:rsid w:val="00127FD4"/>
    <w:rsid w:val="00171AD6"/>
    <w:rsid w:val="00184D64"/>
    <w:rsid w:val="0019020C"/>
    <w:rsid w:val="00192939"/>
    <w:rsid w:val="001A2F21"/>
    <w:rsid w:val="001A7A69"/>
    <w:rsid w:val="001B11F8"/>
    <w:rsid w:val="001C54D8"/>
    <w:rsid w:val="001E178F"/>
    <w:rsid w:val="001E18FB"/>
    <w:rsid w:val="001F03CE"/>
    <w:rsid w:val="001F2AAD"/>
    <w:rsid w:val="00203730"/>
    <w:rsid w:val="00224534"/>
    <w:rsid w:val="00236586"/>
    <w:rsid w:val="00241A92"/>
    <w:rsid w:val="002A4DD9"/>
    <w:rsid w:val="002B0171"/>
    <w:rsid w:val="002B2532"/>
    <w:rsid w:val="002D36E1"/>
    <w:rsid w:val="002D5654"/>
    <w:rsid w:val="002E73F2"/>
    <w:rsid w:val="00300126"/>
    <w:rsid w:val="00304E6C"/>
    <w:rsid w:val="0036556D"/>
    <w:rsid w:val="00382D7C"/>
    <w:rsid w:val="003937B4"/>
    <w:rsid w:val="003B0B22"/>
    <w:rsid w:val="00420A1A"/>
    <w:rsid w:val="0042749D"/>
    <w:rsid w:val="004342E7"/>
    <w:rsid w:val="0048176C"/>
    <w:rsid w:val="004854D6"/>
    <w:rsid w:val="00491F1E"/>
    <w:rsid w:val="004D332E"/>
    <w:rsid w:val="004E336B"/>
    <w:rsid w:val="004F59FF"/>
    <w:rsid w:val="005102E6"/>
    <w:rsid w:val="00516C2C"/>
    <w:rsid w:val="00547E65"/>
    <w:rsid w:val="00550491"/>
    <w:rsid w:val="0057494D"/>
    <w:rsid w:val="00594611"/>
    <w:rsid w:val="005962E0"/>
    <w:rsid w:val="005B4429"/>
    <w:rsid w:val="005C3EEE"/>
    <w:rsid w:val="005C5BA0"/>
    <w:rsid w:val="005D5127"/>
    <w:rsid w:val="006666EF"/>
    <w:rsid w:val="00670C46"/>
    <w:rsid w:val="00670FEA"/>
    <w:rsid w:val="0068349C"/>
    <w:rsid w:val="00694AD7"/>
    <w:rsid w:val="006B63D8"/>
    <w:rsid w:val="006F0E67"/>
    <w:rsid w:val="007204B4"/>
    <w:rsid w:val="00745DDF"/>
    <w:rsid w:val="00761419"/>
    <w:rsid w:val="007659FB"/>
    <w:rsid w:val="0077038E"/>
    <w:rsid w:val="00776F0C"/>
    <w:rsid w:val="007778BB"/>
    <w:rsid w:val="007F39D8"/>
    <w:rsid w:val="007F6A8B"/>
    <w:rsid w:val="00800FEE"/>
    <w:rsid w:val="008100A5"/>
    <w:rsid w:val="008271E0"/>
    <w:rsid w:val="00827EA9"/>
    <w:rsid w:val="00841870"/>
    <w:rsid w:val="00847418"/>
    <w:rsid w:val="00855BC2"/>
    <w:rsid w:val="0087711A"/>
    <w:rsid w:val="008959F3"/>
    <w:rsid w:val="008C4696"/>
    <w:rsid w:val="008D018C"/>
    <w:rsid w:val="008D6055"/>
    <w:rsid w:val="008F3318"/>
    <w:rsid w:val="00912096"/>
    <w:rsid w:val="00913CB4"/>
    <w:rsid w:val="009521CF"/>
    <w:rsid w:val="00953A4E"/>
    <w:rsid w:val="00966AA6"/>
    <w:rsid w:val="009A4E3A"/>
    <w:rsid w:val="009B49F3"/>
    <w:rsid w:val="009D126B"/>
    <w:rsid w:val="009F2F95"/>
    <w:rsid w:val="009F4C3F"/>
    <w:rsid w:val="00A15E09"/>
    <w:rsid w:val="00A642AD"/>
    <w:rsid w:val="00A6577F"/>
    <w:rsid w:val="00A72EA9"/>
    <w:rsid w:val="00A76B3C"/>
    <w:rsid w:val="00A90CC7"/>
    <w:rsid w:val="00AA7623"/>
    <w:rsid w:val="00AB1505"/>
    <w:rsid w:val="00AB3BAB"/>
    <w:rsid w:val="00AC38B3"/>
    <w:rsid w:val="00AC5290"/>
    <w:rsid w:val="00AE4E46"/>
    <w:rsid w:val="00B00B5A"/>
    <w:rsid w:val="00B01233"/>
    <w:rsid w:val="00B45FA2"/>
    <w:rsid w:val="00B9196D"/>
    <w:rsid w:val="00B96CEB"/>
    <w:rsid w:val="00BA6FE8"/>
    <w:rsid w:val="00BC5AE0"/>
    <w:rsid w:val="00BC6D20"/>
    <w:rsid w:val="00BF5548"/>
    <w:rsid w:val="00C2317D"/>
    <w:rsid w:val="00C56592"/>
    <w:rsid w:val="00C971A7"/>
    <w:rsid w:val="00CC31A8"/>
    <w:rsid w:val="00CE059F"/>
    <w:rsid w:val="00CF27FC"/>
    <w:rsid w:val="00D01FC6"/>
    <w:rsid w:val="00D046EF"/>
    <w:rsid w:val="00D147CE"/>
    <w:rsid w:val="00D2159A"/>
    <w:rsid w:val="00D27BFE"/>
    <w:rsid w:val="00D40B52"/>
    <w:rsid w:val="00D51190"/>
    <w:rsid w:val="00D7073C"/>
    <w:rsid w:val="00D776CF"/>
    <w:rsid w:val="00DB127F"/>
    <w:rsid w:val="00DC49B4"/>
    <w:rsid w:val="00DC525A"/>
    <w:rsid w:val="00DE5FE8"/>
    <w:rsid w:val="00E26531"/>
    <w:rsid w:val="00E4332A"/>
    <w:rsid w:val="00E435FF"/>
    <w:rsid w:val="00E551F4"/>
    <w:rsid w:val="00E64681"/>
    <w:rsid w:val="00E66420"/>
    <w:rsid w:val="00E70CA3"/>
    <w:rsid w:val="00E8687F"/>
    <w:rsid w:val="00EB0CC8"/>
    <w:rsid w:val="00EB7F92"/>
    <w:rsid w:val="00EC45AE"/>
    <w:rsid w:val="00EF33EC"/>
    <w:rsid w:val="00F3777D"/>
    <w:rsid w:val="00F55CD3"/>
    <w:rsid w:val="00F83DD6"/>
    <w:rsid w:val="00F95B9A"/>
    <w:rsid w:val="00F96779"/>
    <w:rsid w:val="00FA5D18"/>
    <w:rsid w:val="00FD673F"/>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3</Pages>
  <Words>681</Words>
  <Characters>3887</Characters>
  <Application>Microsoft Office Word</Application>
  <DocSecurity>0</DocSecurity>
  <Lines>32</Lines>
  <Paragraphs>9</Paragraphs>
  <ScaleCrop>false</ScaleCrop>
  <Company/>
  <LinksUpToDate>false</LinksUpToDate>
  <CharactersWithSpaces>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79</cp:revision>
  <dcterms:created xsi:type="dcterms:W3CDTF">2024-12-02T03:13:00Z</dcterms:created>
  <dcterms:modified xsi:type="dcterms:W3CDTF">2024-12-13T05:30:00Z</dcterms:modified>
</cp:coreProperties>
</file>