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C11A94" w14:paraId="788A552F" w14:textId="77777777" w:rsidTr="00C11A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EDA6F" w14:textId="77777777" w:rsidR="00C11A94" w:rsidRDefault="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ED1FC" w14:textId="77777777" w:rsidR="00C11A94" w:rsidRDefault="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11A94" w14:paraId="7AF1D7A4" w14:textId="77777777" w:rsidTr="00C11A9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2E575" w14:textId="77777777" w:rsidR="00C11A94" w:rsidRDefault="00C11A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05/VBHN-VPQH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99D3C" w14:textId="77777777" w:rsidR="00C11A94" w:rsidRDefault="00C11A9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2AEAAE68" w14:textId="77777777" w:rsidR="00C11A94" w:rsidRDefault="00C11A94" w:rsidP="00C11A94">
      <w:pPr>
        <w:pStyle w:val="NormalWeb"/>
        <w:spacing w:after="90" w:afterAutospacing="0" w:line="345" w:lineRule="atLeast"/>
        <w:jc w:val="both"/>
        <w:rPr>
          <w:rFonts w:ascii="Arial" w:hAnsi="Arial" w:cs="Arial"/>
          <w:color w:val="000000"/>
          <w:sz w:val="21"/>
          <w:szCs w:val="21"/>
        </w:rPr>
      </w:pPr>
    </w:p>
    <w:p w14:paraId="0831A121" w14:textId="77777777" w:rsidR="00C11A94" w:rsidRDefault="00C11A94" w:rsidP="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2FF1E31" w14:textId="77777777" w:rsidR="00C11A94" w:rsidRDefault="00C11A94" w:rsidP="00C11A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THUẾ SỬ DỤNG ĐẤT PHI NÔNG NGHIỆP</w:t>
      </w:r>
    </w:p>
    <w:p w14:paraId="40362846" w14:textId="77777777" w:rsidR="00C11A94" w:rsidRDefault="00C11A94" w:rsidP="00C11A94">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Thuế sử dụng đất phi nông nghiệp</w:t>
        </w:r>
      </w:hyperlink>
      <w:r>
        <w:rPr>
          <w:rFonts w:ascii="Arial" w:hAnsi="Arial" w:cs="Arial"/>
          <w:color w:val="000000"/>
          <w:sz w:val="21"/>
          <w:szCs w:val="21"/>
        </w:rPr>
        <w:t> số 48/2010/QH12 ngày 14 tháng 11 năm 2008 của Quốc hội, có hiệu lực kể từ ngày 17 tháng 6 năm 2010, được sửa đổi, bổ sung bởi:</w:t>
      </w:r>
    </w:p>
    <w:p w14:paraId="78B3E39D"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history="1">
        <w:r>
          <w:rPr>
            <w:rStyle w:val="Hyperlink"/>
            <w:rFonts w:ascii="Arial" w:hAnsi="Arial" w:cs="Arial"/>
            <w:color w:val="135ECD"/>
            <w:sz w:val="21"/>
            <w:szCs w:val="21"/>
          </w:rPr>
          <w:t>Luật Đất đai</w:t>
        </w:r>
      </w:hyperlink>
      <w:r>
        <w:rPr>
          <w:rFonts w:ascii="Arial" w:hAnsi="Arial" w:cs="Arial"/>
          <w:color w:val="000000"/>
          <w:sz w:val="21"/>
          <w:szCs w:val="21"/>
        </w:rPr>
        <w:t> số 31/2024/QH15 ngày 18 tháng 01 năm 2024 của Quốc hội, có hiệu lực kể từ ngày 01 tháng 8 năm 2024[1];</w:t>
      </w:r>
    </w:p>
    <w:p w14:paraId="282FE43D"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43/2024/QH15 ngày 29 tháng 6 năm 2024 của Quốc hội sửa đổi, bổ sung một số điều của </w:t>
      </w:r>
      <w:hyperlink r:id="rId7" w:history="1">
        <w:r>
          <w:rPr>
            <w:rStyle w:val="Hyperlink"/>
            <w:rFonts w:ascii="Arial" w:hAnsi="Arial" w:cs="Arial"/>
            <w:color w:val="135ECD"/>
            <w:sz w:val="21"/>
            <w:szCs w:val="21"/>
          </w:rPr>
          <w:t>Luật Đất đai số 31/2024/QH15, Luật Nhà ở số 27/2023/QH15, Luật Kinh doanh bất động sản số 29/2023/QH15 và Luật Các tổ chức tín dụng số 32/2024/QH15</w:t>
        </w:r>
      </w:hyperlink>
      <w:r>
        <w:rPr>
          <w:rFonts w:ascii="Arial" w:hAnsi="Arial" w:cs="Arial"/>
          <w:color w:val="000000"/>
          <w:sz w:val="21"/>
          <w:szCs w:val="21"/>
        </w:rPr>
        <w:t>, có hiệu lực kể từ ngày 01 tháng 8 năm 2024.</w:t>
      </w:r>
    </w:p>
    <w:p w14:paraId="5053C8B5"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51/2001/QH10;</w:t>
      </w:r>
    </w:p>
    <w:p w14:paraId="3947ABB5"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Thuế sử dụng đất phi nông nghiệp</w:t>
      </w:r>
      <w:hyperlink r:id="rId8" w:anchor="_ftn2" w:history="1">
        <w:r>
          <w:rPr>
            <w:rStyle w:val="Hyperlink"/>
            <w:rFonts w:ascii="Arial" w:hAnsi="Arial" w:cs="Arial"/>
            <w:color w:val="135ECD"/>
            <w:sz w:val="21"/>
            <w:szCs w:val="21"/>
          </w:rPr>
          <w:t>[2]</w:t>
        </w:r>
      </w:hyperlink>
      <w:r>
        <w:rPr>
          <w:rStyle w:val="Emphasis"/>
          <w:rFonts w:ascii="Arial" w:hAnsi="Arial" w:cs="Arial"/>
          <w:color w:val="000000"/>
          <w:sz w:val="21"/>
          <w:szCs w:val="21"/>
        </w:rPr>
        <w:t>.</w:t>
      </w:r>
    </w:p>
    <w:p w14:paraId="0D93246F" w14:textId="77777777" w:rsidR="00C11A94" w:rsidRDefault="00C11A94" w:rsidP="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0E97C75" w14:textId="77777777" w:rsidR="00C11A94" w:rsidRDefault="00C11A94" w:rsidP="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8586EF0"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3A4F69A"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đối tượng chịu thuế, đối tượng không chịu thuế; người nộp thuế; căn cứ tính thuế; đăng ký, khai, tính và nộp thuế; miễn, giảm thuế sử dụng đất phi nông nghiệp.</w:t>
      </w:r>
    </w:p>
    <w:p w14:paraId="1A95773F"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chịu thuế</w:t>
      </w:r>
    </w:p>
    <w:p w14:paraId="730C64C1"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 tại nông thôn, đất ở tại đô thị.</w:t>
      </w:r>
    </w:p>
    <w:p w14:paraId="3D823B25"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sản xuất, kinh doanh phi nông nghiệp bao gồm: đất xây dựng khu công nghiệp; đất làm mặt bằng xây dựng cơ sở sản xuất, kinh doanh; đất khai thác, chế biến khóang sản; đất sản xuất vật liệu xây dựng, làm đồ gốm.</w:t>
      </w:r>
    </w:p>
    <w:p w14:paraId="4823DE2C"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Đất phi nông nghiệp quy định tại Điều 3 của Luật này sử dụng vào mục đích kinh doanh.</w:t>
      </w:r>
    </w:p>
    <w:p w14:paraId="230F0EC2"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Đối tượng không chịu thuế</w:t>
      </w:r>
    </w:p>
    <w:p w14:paraId="13B5FAFA"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phi nông nghiệp sử dụng không vào mục đích kinh doanh bao gồm:</w:t>
      </w:r>
    </w:p>
    <w:p w14:paraId="4769FBC5"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vào mục đích công cộng bao gồm: đất giao thông, thủy lợi; đất xây dựng công trình văn hóa, y tế, giáo dục và đào tạo, thể dục thể thao phục vụ lợi ích công cộng; đất có di tích lịch sử - văn hóa, danh lam thắng cảnh; đất xây dựng công trình công cộng khác theo quy định của Chính phủ;</w:t>
      </w:r>
    </w:p>
    <w:p w14:paraId="47ECA230"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do cơ sở tôn giáo sử dụng;</w:t>
      </w:r>
    </w:p>
    <w:p w14:paraId="5C16DB4F"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làm nghĩa trang, nghĩa địa;</w:t>
      </w:r>
    </w:p>
    <w:p w14:paraId="73E857AA"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sông, ngòi, kênh, rạch, suối và mặt nước chuyên dùng;</w:t>
      </w:r>
    </w:p>
    <w:p w14:paraId="3377F92A"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có công trình là đình, đền, miếu, am, từ đường, nhà thờ họ;</w:t>
      </w:r>
    </w:p>
    <w:p w14:paraId="1C9E8305"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xây dựng trụ sở cơ quan, xây dựng công trình sự nghiệp, đất sử dụng vào mục đích quốc phòng, an ninh;</w:t>
      </w:r>
    </w:p>
    <w:p w14:paraId="08152A97"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Đất phi nông nghiệp khác theo quy định của pháp luật.</w:t>
      </w:r>
    </w:p>
    <w:p w14:paraId="2F0F992E"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Người nộp thuế</w:t>
      </w:r>
    </w:p>
    <w:p w14:paraId="047447A4"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là tổ chức, hộ gia đình, cá nhân có quyền sử dụng đất thuộc đối tượng chịu thuế quy định tại Điều 2 của Luật này.</w:t>
      </w:r>
    </w:p>
    <w:p w14:paraId="7BED0E74"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hộ gia đình, cá nhân chưa được cấp Giấy chứng nhận quyền sử dụng đất, quyền sở hữu nhà ở và tài sản khác gắn liền với đất (sau đây gọi chung là Giấy chứng nhận) thì người đang sử dụng đất là người nộp thuế.</w:t>
      </w:r>
    </w:p>
    <w:p w14:paraId="50507AF7"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trong một số trường hợp cụ thể được quy định như sau:</w:t>
      </w:r>
    </w:p>
    <w:p w14:paraId="3A8A3544"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cho thuê đất để thực hiện dự án đầu tư thì người thuê đất là người nộp thuế;</w:t>
      </w:r>
    </w:p>
    <w:p w14:paraId="632A3BE1"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có quyền sử dụng đất cho thuê đất theo hợp đồng thì người nộp thuế được xác định theo thỏa thuận trong hợp đồng. Trường hợp trong hợp đồng không có thoả thuận về người nộp thuế thì người có quyền sử dụng đất là người nộp thuế;</w:t>
      </w:r>
    </w:p>
    <w:p w14:paraId="66482032"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đất đã được cấp Giấy chứng nhận nhưng đang có tranh chấp thì trước khi tranh chấp được giải quyết, người đang sử dụng đất là người nộp thuế. Việc nộp thuế không phải là căn cứ để giải quyết tranh chấp về quyền sử dụng đất;</w:t>
      </w:r>
    </w:p>
    <w:p w14:paraId="780808DC"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nhiều người cùng có quyền sử dụng một thửa đất thì người nộp thuế là người đại diện hợp pháp của những người cùng có quyền sử dụng thửa đất đó;</w:t>
      </w:r>
    </w:p>
    <w:p w14:paraId="6748D2EF"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người có quyền sử dụng đất góp vốn kinh doanh bằng quyền sử dụng đất mà hình thành pháp nhân mới có quyền sử dụng đất thuộc đối tượng chịu thuế quy định tại Điều 2 của Luật này thì pháp nhân mới là người nộp thuế.</w:t>
      </w:r>
    </w:p>
    <w:p w14:paraId="6FD11421" w14:textId="77777777" w:rsidR="00C11A94" w:rsidRDefault="00C11A94" w:rsidP="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2FE391D" w14:textId="77777777" w:rsidR="00C11A94" w:rsidRDefault="00C11A94" w:rsidP="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CĂN CỨ TÍNH THUẾ, ĐĂNG KÝ, KHAI, TÍNH VÀ NỘP THUẾ</w:t>
      </w:r>
    </w:p>
    <w:p w14:paraId="2DE1E295"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Căn cứ tính thuế</w:t>
      </w:r>
    </w:p>
    <w:p w14:paraId="4DBE27D3"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là giá tính thuế và thuế suất.</w:t>
      </w:r>
    </w:p>
    <w:p w14:paraId="130A9E40"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Giá tính thuế</w:t>
      </w:r>
    </w:p>
    <w:p w14:paraId="1965B380"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tính thuế đối với đất được xác định bằng diện tích đất tính thuế nhân với giá của 1m</w:t>
      </w:r>
      <w:r>
        <w:rPr>
          <w:rFonts w:ascii="Arial" w:hAnsi="Arial" w:cs="Arial"/>
          <w:color w:val="000000"/>
          <w:sz w:val="21"/>
          <w:szCs w:val="21"/>
          <w:vertAlign w:val="superscript"/>
        </w:rPr>
        <w:t>2 </w:t>
      </w:r>
      <w:r>
        <w:rPr>
          <w:rFonts w:ascii="Arial" w:hAnsi="Arial" w:cs="Arial"/>
          <w:color w:val="000000"/>
          <w:sz w:val="21"/>
          <w:szCs w:val="21"/>
        </w:rPr>
        <w:t>đất.</w:t>
      </w:r>
    </w:p>
    <w:p w14:paraId="6DA3FC74"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đất tính thuế được quy định như sau:</w:t>
      </w:r>
    </w:p>
    <w:p w14:paraId="4718EEDE"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tính thuế là diện tích đất thực tế sử dụng.</w:t>
      </w:r>
    </w:p>
    <w:p w14:paraId="229096E3"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quyền sử dụng nhiều thửa đất ở thì diện tích đất tính thuế là tổng diện tích các thửa đất tính thuế.</w:t>
      </w:r>
    </w:p>
    <w:p w14:paraId="1FF94CF2"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được Nhà nước giao đất, cho thuê đất để xây dựng khu công nghiệp thì diện tích đất tính thuế không bao gồm diện tích đất xây dựng kết cấu hạ tầng sử dụng chung;</w:t>
      </w:r>
    </w:p>
    <w:p w14:paraId="3A09A885"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ở nhà nhiều tầng nhiều hộ ở, nhà chung cư bao gồm cả trường hợp vừa để ở, vừa để kinh doanh thì diện tích đất tính thuế được xác định bằng hệ số phân bổ nhân với diện tích nhà của từng tổ chức, hộ gia đình, cá nhân sử dụng.</w:t>
      </w:r>
    </w:p>
    <w:p w14:paraId="1F92D088"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phân bổ được xác định bằng diện tích đất xây dựng nhà nhiều tầng nhiều hộ ở, nhà chung cư chia cho tổng diện tích nhà của các tổ chức, hộ gia đình, cá nhân sử dụng.</w:t>
      </w:r>
    </w:p>
    <w:p w14:paraId="5E56BF8E"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nhiều tầng nhiều hộ ở, nhà chung cư có tầng hầm thì 50% diện tích tầng hầm của các tổ chức, hộ gia đình, cá nhân sử dụng trong tầng hầm được cộng vào tổng diện tích nhà của các tổ chức, hộ gia đình, cá nhân sử dụng để tính hệ số phân bổ;</w:t>
      </w:r>
    </w:p>
    <w:p w14:paraId="40FF95BC"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công trình xây dựng dưới mặt đất thì áp dụng hệ số phân bổ bằng 0,5 diện tích đất xây dựng chia cho tổng diện tích công trình của các tổ chức, hộ gia đình, cá nhân sử dụng.</w:t>
      </w:r>
    </w:p>
    <w:p w14:paraId="28201D66"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Giá của 01m</w:t>
      </w:r>
      <w:r>
        <w:rPr>
          <w:rFonts w:ascii="Arial" w:hAnsi="Arial" w:cs="Arial"/>
          <w:color w:val="000000"/>
          <w:sz w:val="21"/>
          <w:szCs w:val="21"/>
          <w:vertAlign w:val="superscript"/>
        </w:rPr>
        <w:t>2</w:t>
      </w:r>
      <w:r>
        <w:rPr>
          <w:rFonts w:ascii="Arial" w:hAnsi="Arial" w:cs="Arial"/>
          <w:color w:val="000000"/>
          <w:sz w:val="21"/>
          <w:szCs w:val="21"/>
        </w:rPr>
        <w:t> đất là giá đất theo bảng giá đất tương ứng với mục đích sử dụng và được ổn định theo chu kỳ 05 năm.</w:t>
      </w:r>
    </w:p>
    <w:p w14:paraId="73148C32"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Thuế suất</w:t>
      </w:r>
    </w:p>
    <w:p w14:paraId="76535891"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suất đối với đất ở bao gồm cả trường hợp sử dụng để kinh doanh áp dụng theo biểu thuế luỹ tiến từng phần được quy định như sau:</w:t>
      </w:r>
    </w:p>
    <w:tbl>
      <w:tblPr>
        <w:tblW w:w="147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9174"/>
        <w:gridCol w:w="3759"/>
      </w:tblGrid>
      <w:tr w:rsidR="00C11A94" w14:paraId="60FE508C" w14:textId="77777777" w:rsidTr="00C11A94">
        <w:trPr>
          <w:trHeight w:val="645"/>
          <w:tblCellSpacing w:w="0" w:type="dxa"/>
        </w:trPr>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99CFF" w14:textId="77777777" w:rsidR="00C11A94" w:rsidRDefault="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Bậc thuế</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8D940" w14:textId="77777777" w:rsidR="00C11A94" w:rsidRDefault="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đất tính thuế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33468" w14:textId="77777777" w:rsidR="00C11A94" w:rsidRDefault="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w:t>
            </w:r>
          </w:p>
        </w:tc>
      </w:tr>
      <w:tr w:rsidR="00C11A94" w14:paraId="3F390E61" w14:textId="77777777" w:rsidTr="00C11A94">
        <w:trPr>
          <w:tblCellSpacing w:w="0" w:type="dxa"/>
        </w:trPr>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4F1BD" w14:textId="77777777" w:rsidR="00C11A94" w:rsidRDefault="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AA233" w14:textId="77777777" w:rsidR="00C11A94" w:rsidRDefault="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trong hạn mức</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D3D64" w14:textId="77777777" w:rsidR="00C11A94" w:rsidRDefault="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0,03</w:t>
            </w:r>
          </w:p>
        </w:tc>
      </w:tr>
      <w:tr w:rsidR="00C11A94" w14:paraId="70F1B5B5" w14:textId="77777777" w:rsidTr="00C11A94">
        <w:trPr>
          <w:tblCellSpacing w:w="0" w:type="dxa"/>
        </w:trPr>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96C0B" w14:textId="77777777" w:rsidR="00C11A94" w:rsidRDefault="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29C71" w14:textId="77777777" w:rsidR="00C11A94" w:rsidRDefault="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diện tích vượt không quá 3 lần hạn mức</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8689B" w14:textId="77777777" w:rsidR="00C11A94" w:rsidRDefault="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0,07</w:t>
            </w:r>
          </w:p>
        </w:tc>
      </w:tr>
      <w:tr w:rsidR="00C11A94" w14:paraId="73132950" w14:textId="77777777" w:rsidTr="00C11A94">
        <w:trPr>
          <w:tblCellSpacing w:w="0" w:type="dxa"/>
        </w:trPr>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4D1D3" w14:textId="77777777" w:rsidR="00C11A94" w:rsidRDefault="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242E1" w14:textId="77777777" w:rsidR="00C11A94" w:rsidRDefault="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diện tích vượt trên 3 lần hạn mức</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C6032" w14:textId="77777777" w:rsidR="00C11A94" w:rsidRDefault="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w:t>
            </w:r>
          </w:p>
        </w:tc>
      </w:tr>
    </w:tbl>
    <w:p w14:paraId="4124E962"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đất ở làm căn cứ tính thuế là hạn mức giao đất ở mới theo quy định của Uỷ ban nhân dân tỉnh, thành phố trực thuộc Trung ương, kể từ ngày Luật này có hiệu lực thi hành.</w:t>
      </w:r>
    </w:p>
    <w:p w14:paraId="401A303D"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đất ở đã có hạn mức theo quy định trước ngày Luật này có hiệu lực thi hành thì áp dụng như sau:</w:t>
      </w:r>
    </w:p>
    <w:p w14:paraId="47B9739E"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hạn mức đất ở theo quy định trước ngày Luật này có hiệu lực thi hành thấp hơn hạn mức giao đất ở mới thì áp dụng hạn mức giao đất ở mới để làm căn cứ tính thuế;</w:t>
      </w:r>
    </w:p>
    <w:p w14:paraId="30955DF9"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hạn mức đất ở theo quy định trước ngày Luật này có hiệu lực thi hành cao hơn hạn mức giao đất ở mới thì áp dụng hạn mức đất ở cũ để làm căn cứ tính thuế.</w:t>
      </w:r>
    </w:p>
    <w:p w14:paraId="6D42F0AC"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ở nhà nhiều tầng nhiều hộ ở, nhà chung cư, công trình xây dựng dưới mặt đất áp dụng mức thuế suất 0,03%.</w:t>
      </w:r>
    </w:p>
    <w:p w14:paraId="3C17E0CF"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sản xuất, kinh doanh phi nông nghiệp áp dụng mức thuế suất 0,03%.</w:t>
      </w:r>
    </w:p>
    <w:p w14:paraId="7B183572"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phi nông nghiệp quy định tại Điều 3 của Luật này sử dụng vào mục đích kinh doanh áp dụng mức thuế suất 0,03%.</w:t>
      </w:r>
    </w:p>
    <w:p w14:paraId="6AC744DB"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sử dụng không đúng mục đích, đất chưa sử dụng theo đúng quy định áp dụng mức thuế suất 0,15%. Trường hợp đất của dự án đầu tư phân kỳ theo đăng ký của nhà đầu tư được cơ quan nhà nước có thẩm quyền phê duyệt thì không coi là đất chưa sử dụng và áp dụng mức thuế suất 0,03%. </w:t>
      </w:r>
    </w:p>
    <w:p w14:paraId="79A97BDE"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Đất lấn, chiếm áp dụng mức thuế suất 0,2% và không áp dụng hạn mức. Việc nộp thuế không phải là căn cứ để công nhận quyền sử dụng đất hợp pháp của người nộp thuế đối với diện tích đất lấn, chiếm.</w:t>
      </w:r>
    </w:p>
    <w:p w14:paraId="7601ECA8"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Đăng ký, khai, tính và nộp thuế</w:t>
      </w:r>
    </w:p>
    <w:p w14:paraId="42E0D05C"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đăng ký, khai, tính và nộp thuế theo quy định của pháp luật về quản lý thuế.</w:t>
      </w:r>
    </w:p>
    <w:p w14:paraId="45A61F7B"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nộp thuế đăng ký, khai, tính và nộp thuế tại cơ quan thuế huyện, quận, thị xã, thành phố thuộc tỉnh nơi có quyền sử dụng đất.</w:t>
      </w:r>
    </w:p>
    <w:p w14:paraId="11128528"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ở vùng sâu, vùng xa, điều kiện đi lại khó khăn, người nộp thuế có thể thực hiện việc đăng ký, khai, tính và nộp thuế tại Ủy ban nhân dân xã. Cơ quan thuế tạo điều kiện để người nộp thuế thực hiện nghĩa vụ của mình.</w:t>
      </w:r>
    </w:p>
    <w:p w14:paraId="0E8B1059"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nộp thuế có quyền sử dụng nhiều thửa đất ở thì diện tích tính thuế là tổng diện tích các thửa đất ở tính thuế trong phạm vi tỉnh, thành phố trực thuộc Trung ương. Việc đăng ký, khai, tính và nộp thuế được quy định như sau:</w:t>
      </w:r>
    </w:p>
    <w:p w14:paraId="07FEDE62"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đăng ký, khai, tính và nộp thuế tại cơ quan thuế huyện, quận, thị xã, thành phố thuộc tỉnh nơi có quyền sử dụng đất;</w:t>
      </w:r>
    </w:p>
    <w:p w14:paraId="57A603FB"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được lựa chọn hạn mức đất ở tại một huyện, quận, thị xã, thành phố thuộc tỉnh nơi có quyền sử dụng đất. Trường hợp có một hoặc nhiều thửa đất ở vượt hạn mức thì người nộp thuế được lựa chọn một nơi có thửa đất ở vượt hạn mức để xác định diện tích vượt hạn mức của các thửa đất.</w:t>
      </w:r>
    </w:p>
    <w:p w14:paraId="16F39EBC"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được áp dụng theo giá đất của từng huyện, quận, thị xã, thành phố thuộc tỉnh tại nơi có thửa đất.</w:t>
      </w:r>
    </w:p>
    <w:p w14:paraId="1B1D5104"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lập tờ khai tổng hợp theo mẫu quy định để xác định tổng diện tích các thửa đất ở có quyền sử dụng và số thuế đã nộp, gửi cơ quan thuế nơi người nộp thuế đã lựa chọn để xác định hạn mức đất ở để nộp phần chênh lệch giữa số thuế phải nộp theo quy định của Luật này và số thuế đã nộp.</w:t>
      </w:r>
    </w:p>
    <w:p w14:paraId="4EB9BB34" w14:textId="77777777" w:rsidR="00C11A94" w:rsidRDefault="00C11A94" w:rsidP="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64F8EEF" w14:textId="77777777" w:rsidR="00C11A94" w:rsidRDefault="00C11A94" w:rsidP="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MIỄN THUẾ, GIẢM THUẾ</w:t>
      </w:r>
    </w:p>
    <w:p w14:paraId="752B46E1"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Miễn thuế</w:t>
      </w:r>
    </w:p>
    <w:p w14:paraId="184B20B3"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của dự án đầu tư thuộc lĩnh vực đặc biệt khuyến khích đầu tư; dự án đầu tư tại địa bàn có điều kiện kinh tế - xã hội đặc biệt khó khăn; dự án đầu tư thuộc lĩnh vực khuyến khích đầu tư tại địa bàn có điều kiện kinh tế - xã hội khó khăn; đất của doanh nghiệp sử dụng trên 50% số lao động là thương binh, bệnh binh.</w:t>
      </w:r>
    </w:p>
    <w:p w14:paraId="1532295A"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của cơ sở thực hiện xã hội hóa đối với các hoạt động trong lĩnh vực giáo dục, dạy nghề, y tế, văn hóa, thể thao, môi trường.</w:t>
      </w:r>
    </w:p>
    <w:p w14:paraId="40692F9F"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xây dựng nhà tình nghĩa, nhà đại đoàn kết, cơ sở nuôi dưỡng người già cô đơn, người khuyết tật, trẻ mồ côi; cơ sở chữa bệnh xã hội.</w:t>
      </w:r>
    </w:p>
    <w:p w14:paraId="1E54BD02"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Đất ở trong hạn mức tại địa bàn có điều kiện kinh tế - xã hội đặc biệt khó khăn.</w:t>
      </w:r>
    </w:p>
    <w:p w14:paraId="33E3ABD3"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ở trong hạn mức của người hoạt động cách mạng trước ngày 19/8/1945; thương binh hạng 1/4, 2/4; người hưởng chính sách như thương binh hạng 1/4, 2/4; bệnh binh hạng 1/3; anh hùng lực lượng vũ trang nhân dân; mẹ Việt Nam anh hùng; cha đẻ, mẹ đẻ, người có công nuôi dưỡng liệt sỹ khi còn nhỏ; vợ, chồng của liệt sỹ; con của liệt sỹ được hưởng trợ cấp hàng tháng; người hoạt động cách mạng bị nhiễm chất độc da cam; người bị nhiễm chất độc da cam mà hoàn cảnh gia đình khó khăn.</w:t>
      </w:r>
    </w:p>
    <w:p w14:paraId="40439D09"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ở trong hạn mức của hộ nghèo theo quy định của Chính phủ.</w:t>
      </w:r>
    </w:p>
    <w:p w14:paraId="7CEC44DF"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Hộ gia đình, cá nhân trong năm bị thu hồi đất ở theo quy hoạch, kế hoạch được cơ quan nhà nước có thẩm quyền phê duyệt thì được miễn thuế trong năm thực tế có thu hồi đối với đất tại nơi bị thu hồi và đất tại nơi ở mới.</w:t>
      </w:r>
    </w:p>
    <w:p w14:paraId="0F1B20B7"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Đất có nhà vườn được cơ quan nhà nước có thẩm quyền xác nhận là di tích lịch sử - văn hóa.</w:t>
      </w:r>
    </w:p>
    <w:p w14:paraId="1EC2D025"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nộp thuế gặp khó khăn do sự kiện bất khả kháng nếu giá trị thiệt hại về đất và nhà trên đất trên 50% giá tính thuế.</w:t>
      </w:r>
    </w:p>
    <w:p w14:paraId="32B7CFBE"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Giảm thuế</w:t>
      </w:r>
    </w:p>
    <w:p w14:paraId="50A97D9F"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50% số thuế phải nộp cho các trường hợp sau đây:</w:t>
      </w:r>
    </w:p>
    <w:p w14:paraId="11450F30"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của dự án đầu tư thuộc lĩnh vực khuyến khích đầu tư; dự án đầu tư tại địa bàn có điều kiện kinh tế - xã hội khó khăn; đất của doanh nghiệp sử dụng từ 20% đến 50% số lao động là thương binh, bệnh binh;</w:t>
      </w:r>
    </w:p>
    <w:p w14:paraId="2164506C"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ở trong hạn mức tại địa bàn có điều kiện kinh tế - xã hội khó khăn;</w:t>
      </w:r>
    </w:p>
    <w:p w14:paraId="206E0A9D"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ở trong hạn mức của thương binh hạng 3/4, 4/4; người hưởng chính sách như thương binh hạng 3/4, 4/4; bệnh binh hạng 2/3, 3/3; con của liệt sỹ không được hưởng trợ cấp hàng tháng;</w:t>
      </w:r>
    </w:p>
    <w:p w14:paraId="3899F889"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gặp khó khăn do sự kiện bất khả kháng nếu giá trị thiệt hại về đất và nhà trên đất từ 20% đến 50% giá tính thuế.</w:t>
      </w:r>
    </w:p>
    <w:p w14:paraId="05E06EE6"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Nguyên tắc miễn thuế, giảm thuế</w:t>
      </w:r>
    </w:p>
    <w:p w14:paraId="0E0B19D7"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được hưởng cả miễn thuế và giảm thuế đối với cùng một thửa đất thì được miễn thuế; người nộp thuế thuộc hai trường hợp được giảm thuế trở lên quy định tại Điều 10 của Luật này thì được miễn thuế.</w:t>
      </w:r>
    </w:p>
    <w:p w14:paraId="5AEB0DFE"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đất ở chỉ được miễn thuế hoặc giảm thuế tại một nơi do người nộp thuế lựa chọn, trừ trường hợp quy định tại khoản 9 Điều 9 và khoản 4 Điều 10 của Luật này.</w:t>
      </w:r>
    </w:p>
    <w:p w14:paraId="0684AEA8"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nộp thuế có nhiều dự án đầu tư được miễn thuế, giảm thuế thì thực hiện miễn, giảm theo từng dự án đầu tư.</w:t>
      </w:r>
    </w:p>
    <w:p w14:paraId="2B2D0D4B"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Miễn thuế, giảm thuế chỉ áp dụng trực tiếp đối với người nộp thuế và chỉ tính trên số tiền thuế phải nộp theo quy định của Luật này.</w:t>
      </w:r>
    </w:p>
    <w:p w14:paraId="7A63BACD" w14:textId="77777777" w:rsidR="00C11A94" w:rsidRDefault="00C11A94" w:rsidP="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F025264" w14:textId="77777777" w:rsidR="00C11A94" w:rsidRDefault="00C11A94" w:rsidP="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hyperlink r:id="rId9" w:anchor="_ftn4" w:history="1">
        <w:r>
          <w:rPr>
            <w:rStyle w:val="Hyperlink"/>
            <w:rFonts w:ascii="Arial" w:hAnsi="Arial" w:cs="Arial"/>
            <w:color w:val="135ECD"/>
            <w:sz w:val="21"/>
            <w:szCs w:val="21"/>
          </w:rPr>
          <w:t>[4]</w:t>
        </w:r>
      </w:hyperlink>
    </w:p>
    <w:p w14:paraId="771FB359"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thi hành</w:t>
      </w:r>
    </w:p>
    <w:p w14:paraId="16304230"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2012.</w:t>
      </w:r>
    </w:p>
    <w:p w14:paraId="5467F1CB"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văn bản quy phạm pháp luật sau đây hết hiệu lực thi hành kể từ ngày Luật này có hiệu lực:</w:t>
      </w:r>
    </w:p>
    <w:p w14:paraId="32B3E817"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lệnh Thuế nhà, đất năm 1992;</w:t>
      </w:r>
    </w:p>
    <w:p w14:paraId="3ADB910C"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Pháp lệnh sửa đổi, bổ sung một số điều của Pháp lệnh Thuế nhà, đất năm 1994.</w:t>
      </w:r>
    </w:p>
    <w:p w14:paraId="14585945"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Quy định chi tiết và hướng dẫn thi hành</w:t>
      </w:r>
    </w:p>
    <w:p w14:paraId="1C6572BA"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những nội dung cần thiết của Luật này để đáp ứng yêu cầu quản lý nhà nước./.</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C11A94" w14:paraId="78427A82" w14:textId="77777777" w:rsidTr="00C11A94">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F080F" w14:textId="77777777" w:rsidR="00C11A94" w:rsidRDefault="00C11A94">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51405" w14:textId="77777777" w:rsidR="00C11A94" w:rsidRDefault="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26ADE54D" w14:textId="77777777" w:rsidR="00C11A94" w:rsidRDefault="00C11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2962CEA1"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9DC4A3"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158D8C5D"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Đất đai số 31/2024/QH15 có căn cứ ban hành như sau:</w:t>
      </w:r>
    </w:p>
    <w:p w14:paraId="724E9BE1"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CBF0D9C"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Quốc hội ban hành Luật Đất đai.</w:t>
      </w:r>
      <w:r>
        <w:rPr>
          <w:rFonts w:ascii="Arial" w:hAnsi="Arial" w:cs="Arial"/>
          <w:color w:val="000000"/>
          <w:sz w:val="21"/>
          <w:szCs w:val="21"/>
        </w:rPr>
        <w:t>”.</w:t>
      </w:r>
    </w:p>
    <w:p w14:paraId="5879F1B6"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14:paraId="593ABD5D"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D7F885B"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Đất đai số 31/2024/QH15, Luật Nhà ở số 27/2023/QH15, Luật Kinh doanh bất động sản số 29/2023/QH15 và Luật Các tổ chức tín dụng số 32/2024/QH15.</w:t>
      </w:r>
      <w:r>
        <w:rPr>
          <w:rFonts w:ascii="Arial" w:hAnsi="Arial" w:cs="Arial"/>
          <w:color w:val="000000"/>
          <w:sz w:val="21"/>
          <w:szCs w:val="21"/>
        </w:rPr>
        <w:t>”.</w:t>
      </w:r>
    </w:p>
    <w:p w14:paraId="609ED04A"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Điều 249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47A9A0CA"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strike/>
          <w:color w:val="000000"/>
          <w:sz w:val="21"/>
          <w:szCs w:val="21"/>
        </w:rPr>
        <w:t>[4]</w:t>
      </w:r>
      <w:r>
        <w:rPr>
          <w:rFonts w:ascii="Arial" w:hAnsi="Arial" w:cs="Arial"/>
          <w:color w:val="000000"/>
          <w:sz w:val="21"/>
          <w:szCs w:val="21"/>
        </w:rPr>
        <w:t> Điều 252 và Điều 253 của Luật Đất đai số 31/2024/QH15, có hiệu lực kể từ ngày 01 tháng 8 năm 2024 quy định như sau:</w:t>
      </w:r>
    </w:p>
    <w:p w14:paraId="518A5387"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252. Hiệu lực thi hành</w:t>
      </w:r>
    </w:p>
    <w:p w14:paraId="42B33C55"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 trừ trường hợp quy định tại khoản 2 và khoản 3 Điều này.</w:t>
      </w:r>
    </w:p>
    <w:p w14:paraId="711E5DFF"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190 và Điều 248 của Luật này có hiệu lực thi hành từ ngày 01 tháng 4 năm 2024.</w:t>
      </w:r>
    </w:p>
    <w:p w14:paraId="3508E6AA"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3185D84F"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Khoản 9 Điều 60 của Luật này có hiệu lực thi hành từ ngày Nghị quyết số 61/2022/QH15 hết hiệu lực.</w:t>
      </w:r>
    </w:p>
    <w:p w14:paraId="76C80C4A"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Luật Đất đai số 45/2013/QH13 đã được sửa đổi, bổ sung một số điều theo Luật số 35/2018/QH14 (sau đây gọi là Luật Đất đai số 45/2013/QH13) hết hiệu lực kể từ ngày Luật này có hiệu lực thi hành.</w:t>
      </w:r>
    </w:p>
    <w:p w14:paraId="738C588F"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253. Quy định chuyển tiếp về quy hoạch, kế hoạch sử dụng đất khi Luật này có hiệu lực thi hành</w:t>
      </w:r>
    </w:p>
    <w:p w14:paraId="6A2E5285"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14:paraId="0E2099CD"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r>
        <w:rPr>
          <w:rFonts w:ascii="Arial" w:hAnsi="Arial" w:cs="Arial"/>
          <w:color w:val="000000"/>
          <w:sz w:val="21"/>
          <w:szCs w:val="21"/>
        </w:rPr>
        <w:t>”.</w:t>
      </w:r>
    </w:p>
    <w:p w14:paraId="13B90D04"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của Luật số 43/2024/QH15 sửa đổi, bổ sung một số điều của </w:t>
      </w:r>
      <w:hyperlink r:id="rId10" w:tgtFrame="_blank" w:history="1">
        <w:r>
          <w:rPr>
            <w:rStyle w:val="Hyperlink"/>
            <w:rFonts w:ascii="Arial" w:hAnsi="Arial" w:cs="Arial"/>
            <w:color w:val="135ECD"/>
            <w:sz w:val="21"/>
            <w:szCs w:val="21"/>
          </w:rPr>
          <w:t>Luật Đất đai số 31/2024/QH15</w:t>
        </w:r>
      </w:hyperlink>
      <w:r>
        <w:rPr>
          <w:rFonts w:ascii="Arial" w:hAnsi="Arial" w:cs="Arial"/>
          <w:color w:val="000000"/>
          <w:sz w:val="21"/>
          <w:szCs w:val="21"/>
        </w:rPr>
        <w:t>, Luật Nhà ở số 27/2023/QH15, Luật Kinh doanh bất động sản số 29/2023/QH15 và Luật Các tổ chức tín dụng số 32/2024/QH15, có hiệu lực kể từ ngày 01 tháng 8 năm 2024 quy định như sau:</w:t>
      </w:r>
    </w:p>
    <w:p w14:paraId="3D350721" w14:textId="77777777" w:rsidR="00C11A94" w:rsidRDefault="00C11A94" w:rsidP="00C11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Luật này có hiệu lực thi hành từ ngày 01 tháng 8 năm 2024.</w:t>
      </w:r>
      <w:r>
        <w:rPr>
          <w:rFonts w:ascii="Arial" w:hAnsi="Arial" w:cs="Arial"/>
          <w:color w:val="000000"/>
          <w:sz w:val="21"/>
          <w:szCs w:val="21"/>
        </w:rPr>
        <w:t>”.</w:t>
      </w:r>
    </w:p>
    <w:p w14:paraId="766D792D" w14:textId="77777777" w:rsidR="00603FD0" w:rsidRPr="00C11A94" w:rsidRDefault="00603FD0" w:rsidP="00C11A94"/>
    <w:sectPr w:rsidR="00603FD0" w:rsidRPr="00C11A94"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B704D"/>
    <w:rsid w:val="000F3ED2"/>
    <w:rsid w:val="00117FE8"/>
    <w:rsid w:val="0013696A"/>
    <w:rsid w:val="00152DB1"/>
    <w:rsid w:val="001658CA"/>
    <w:rsid w:val="001955CD"/>
    <w:rsid w:val="001E24B8"/>
    <w:rsid w:val="002B33FD"/>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444F5"/>
    <w:rsid w:val="0077269D"/>
    <w:rsid w:val="007D14DF"/>
    <w:rsid w:val="00863396"/>
    <w:rsid w:val="0092111E"/>
    <w:rsid w:val="00932AE6"/>
    <w:rsid w:val="00946FBF"/>
    <w:rsid w:val="009C4CD2"/>
    <w:rsid w:val="00A61915"/>
    <w:rsid w:val="00AB2024"/>
    <w:rsid w:val="00AC69F0"/>
    <w:rsid w:val="00B51639"/>
    <w:rsid w:val="00BD740F"/>
    <w:rsid w:val="00C11A94"/>
    <w:rsid w:val="00CC6C92"/>
    <w:rsid w:val="00CF1E1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documents/new" TargetMode="External"/><Relationship Id="rId3" Type="http://schemas.openxmlformats.org/officeDocument/2006/relationships/settings" Target="settings.xml"/><Relationship Id="rId7" Type="http://schemas.openxmlformats.org/officeDocument/2006/relationships/hyperlink" Target="https://admin.luatminhkhue.vn/van-ban/luat-sua-doi-bo-sung-luat-dat-dai-2024-luat-nha-o-2023-luat-kinh-doanh-bds-2023-luat-cac-to-chuc-tin-dung-2024.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van-ban/luat-dat-dai-nam-2024.aspx" TargetMode="External"/><Relationship Id="rId11" Type="http://schemas.openxmlformats.org/officeDocument/2006/relationships/fontTable" Target="fontTable.xml"/><Relationship Id="rId5" Type="http://schemas.openxmlformats.org/officeDocument/2006/relationships/hyperlink" Target="https://admin.luatminhkhue.vn/luat-thue-su-dung-dat-phi-nong-nghiep-so-48-2010-qh12.aspx" TargetMode="External"/><Relationship Id="rId10" Type="http://schemas.openxmlformats.org/officeDocument/2006/relationships/hyperlink" Target="https://admin.luatminhkhue.vn/van-ban/luat-dat-dai-nam-2024.aspx" TargetMode="External"/><Relationship Id="rId4" Type="http://schemas.openxmlformats.org/officeDocument/2006/relationships/webSettings" Target="webSettings.xml"/><Relationship Id="rId9" Type="http://schemas.openxmlformats.org/officeDocument/2006/relationships/hyperlink" Target="https://admin.luatminhkhue.vn/document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2466</Words>
  <Characters>14059</Characters>
  <Application>Microsoft Office Word</Application>
  <DocSecurity>0</DocSecurity>
  <Lines>117</Lines>
  <Paragraphs>32</Paragraphs>
  <ScaleCrop>false</ScaleCrop>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44</cp:revision>
  <cp:lastPrinted>2024-11-27T12:14:00Z</cp:lastPrinted>
  <dcterms:created xsi:type="dcterms:W3CDTF">2024-11-27T12:13:00Z</dcterms:created>
  <dcterms:modified xsi:type="dcterms:W3CDTF">2024-12-14T02:42:00Z</dcterms:modified>
</cp:coreProperties>
</file>