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NHÂN DÂN 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196/TANDTC-PC</w:t>
            </w:r>
            <w:r>
              <w:rPr/>
              <w:br/>
            </w:r>
            <w:r>
              <w:rPr>
                <w:i/>
              </w:rPr>
              <w:t xml:space="preserve">V/v áp dụng điểm c khoản 2 Điều 321 và điểm c khoản 2 Điều 322 của BLHS.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w:t>
            </w:r>
            <w:r>
              <w:rPr>
                <w:i/>
              </w:rPr>
              <w:t xml:space="preserve">, ngày 04</w:t>
            </w:r>
            <w:r>
              <w:rPr>
                <w:i/>
              </w:rPr>
              <w:t xml:space="preserve"> tháng 9</w:t>
            </w:r>
            <w:r>
              <w:rPr>
                <w:i/>
              </w:rPr>
              <w:t xml:space="preserve"> năm 2018</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Tòa án nhân dân và Tòa án quân sự các cấp;</w:t>
            </w:r>
            <w:r>
              <w:rPr/>
              <w:br/>
            </w:r>
            <w:r>
              <w:t xml:space="preserve">- Các đơn vị thuộc Tòa án nhân dân tối cao.</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qua, Tòa án nhân dân tối cao nhận được ý kiến phản ánh của một số Tòa án về vướng mắc trong việc áp dụng tình tiết định khung tăng nặng “Sử dụng mạng internet, mạng máy tính, mạng viễn thông, phương tiện điện tử để phạm tội” quy định tại </w:t>
      </w:r>
      <w:r>
        <w:t xml:space="preserve">và điểm c </w:t>
      </w:r>
      <w:r>
        <w:t xml:space="preserve">khoản 2 Điều 321 khoản 2 Điều 322 của Bộ luật Hình sự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qua, Tòa án nhân dân tối cao nhận được ý kiến phản ánh của một số Tòa án về vướng mắc trong vi</w:t>
      </w:r>
      <w:r>
        <w:t xml:space="preserve">ệc áp dụng tình tiết định khung tăng nặng “</w:t>
      </w:r>
      <w:r>
        <w:rPr>
          <w:i/>
        </w:rPr>
        <w:t xml:space="preserve">Sử dụng mạng internet, mạng máy tính, mạng vi</w:t>
      </w:r>
      <w:r>
        <w:rPr>
          <w:i/>
        </w:rPr>
        <w:t xml:space="preserve">ễ</w:t>
      </w:r>
      <w:r>
        <w:rPr>
          <w:i/>
        </w:rPr>
        <w:t xml:space="preserve">n thông, phương tiện điện tử để phạm tội</w:t>
      </w:r>
      <w:r>
        <w:t xml:space="preserve">” quy định tại điểm c khoản 2 Điều 321 khoản 2 Điều 322 của</w:t>
      </w:r>
      <w:hyperlink r:id="rId3" w:history="1">
        <w:r>
          <w:rPr>
            <w:rStyle w:val="Hyperlink"/>
          </w:rPr>
          <w:t xml:space="preserve">Bộ luật Hình sự</w:t>
        </w:r>
      </w:hyperlink>
      <w:r>
        <w:t xml:space="preserve">. Để bảo đảm áp dụng thống nhất pháp luật việc áp dụng tình tiết nêu trên, Tòa án nhân dân tối cao có ý kiến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“Sử dụng mạng internet, mạng máy tính, mạng viễ</w:t>
      </w:r>
      <w:r>
        <w:rPr>
          <w:i/>
        </w:rPr>
        <w:t xml:space="preserve">n thông, phương tiện điện tử để phạm tội</w:t>
      </w:r>
      <w:r>
        <w:t xml:space="preserve">” quy định tại điểm c khoản 2 Điều 321 và điểm c khoản 2 Điều 322 của Bộ luật Hình sự được hiểu là việc sử dụng mạng internet, mạng máy tính, mạng viễn thông và các phương tiện điện tử để đánh bạc trực tuyến (như hình thành nên các chiếu bạc online hoặc sử dụng mạng internet, mạng máy tính, mạng viễn thông, phương tiện điện tử để tổ chức đánh bạc, gá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người phạm tội sử dụng mạng internet, mạng máy tính, mạng viễn thông và các phương tiện điện tử khác như là phương tiện để liên lạc với nhau (ví dụ: nhắn tin qua điện thoại, qua email, zalo, viber.... để ghi số đề, lô tô, cá độ đua ngựa...) mà không hình thành nên các trò chơi được thua bằng tiền hoặc hiện vật trực tuyến thì không thuộc trường hợp </w:t>
      </w:r>
      <w:r>
        <w:rPr>
          <w:i/>
        </w:rPr>
        <w:t xml:space="preserve">“Sử dụng mạng internet, mạng máy tính, mạng vi</w:t>
      </w:r>
      <w:r>
        <w:rPr>
          <w:i/>
        </w:rPr>
        <w:t xml:space="preserve">ễ</w:t>
      </w:r>
      <w:r>
        <w:rPr>
          <w:i/>
        </w:rPr>
        <w:t xml:space="preserve">n thông và các phương tiện điện tử để</w:t>
      </w:r>
      <w:r>
        <w:rPr>
          <w:i/>
        </w:rPr>
        <w:t xml:space="preserve"> phạm tội</w:t>
      </w:r>
      <w:r>
        <w:t xml:space="preserve">” quy định tại điểm c khoản 2 Điều 321 và điểm c khoản 2 Điều 322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ý kiến của Tòa án nhân dân tối cao để các tòa án nghiên cứu, bảo đảm áp dụng pháp luật thống nhất trong xét xử./.</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Chánh án TANDTC (để báo cáo);</w:t>
            </w:r>
            <w:r>
              <w:rPr/>
              <w:br/>
            </w:r>
            <w:r>
              <w:t xml:space="preserve">- Các Phó Chánh án TANDTC;</w:t>
            </w:r>
            <w:r>
              <w:rPr/>
              <w:br/>
            </w:r>
            <w:r>
              <w:t xml:space="preserve">- Các Thẩm phán TANDTC;</w:t>
            </w:r>
            <w:r>
              <w:rPr/>
              <w:br/>
            </w:r>
            <w:r>
              <w:t xml:space="preserve">- Cổng TTĐT TANDTC (để đăng tải);</w:t>
            </w:r>
            <w:r>
              <w:rPr/>
              <w:br/>
            </w:r>
            <w:r>
              <w:t xml:space="preserve">- Lưu: VT, PC&amp;QLKH.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CHÁNH ÁN</w:t>
            </w:r>
            <w:r>
              <w:rPr>
                <w:b/>
              </w:rPr>
              <w:br/>
            </w:r>
            <w:r>
              <w:rPr>
                <w:b/>
              </w:rPr>
              <w:t xml:space="preserve">PHÓ CHÁNH ÁN</w:t>
            </w:r>
            <w:r>
              <w:rPr>
                <w:b/>
              </w:rPr>
              <w:br/>
            </w:r>
            <w:r>
              <w:rPr>
                <w:b/>
              </w:rPr>
              <w:br/>
            </w:r>
            <w:r>
              <w:rPr>
                <w:b/>
              </w:rPr>
              <w:br/>
            </w:r>
            <w:r>
              <w:rPr>
                <w:b/>
              </w:rPr>
              <w:br/>
            </w:r>
            <w:r>
              <w:rPr>
                <w:b/>
              </w:rPr>
              <w:br/>
            </w:r>
            <w:r>
              <w:rPr>
                <w:b/>
              </w:rPr>
              <w:t xml:space="preserve">Nguyễn Trí Tuệ</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bo-luat-hinh-su-moi-nh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2022-06-22T13:57:50Z</dcterms:created>
  <dcterms:modified xsi:type="dcterms:W3CDTF">2022-06-22T13:57:50Z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2022-06-22T13:57:50Z</dcterms:created>
  <dcterms:modified xsi:type="dcterms:W3CDTF">2022-06-22T13:57:50Z</dcterms:modified>
</cp:coreProperties>
</file>