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rPr>
                <w:vanish w:val="0"/>
              </w:rPr>
            </w:pPr>
            <w:r>
              <w:rPr>
                <w:b/>
              </w:rPr>
              <w:t xml:space="preserve">CHÍNH PHỦ</w:t>
            </w:r>
          </w:p>
          <w:p>
            <w:pPr>
              <w:pStyle w:val="Normal(Web)"/>
              <w:divId w:val="2"/>
              <w:rPr>
                <w:vanish w:val="0"/>
              </w:rPr>
            </w:pPr>
            <w:r>
              <w:t xml:space="preserve">Số: </w:t>
            </w:r>
            <w:hyperlink r:id="rId3" w:history="1">
              <w:r>
                <w:rPr>
                  <w:rStyle w:val="Hyperlink"/>
                </w:rPr>
                <w:t xml:space="preserve">167/2007/NĐ-CP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16 tháng 11 năm 2007</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định mức lương tối thiểu vùng đối với người lao động làm việc ở công ty, doanh nghiệp, hợp tác xã, tổ hợp tác, trang trại, hộ gia đình, cá nhân và các tổ chức khác của việt Nam có thuê mướn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Bộ luật Lao động ngày 23 tháng 06 năm 1994; Luật sửa đổi, bổ sung một số điều của Bộ luật Lao động ngày 02 tháng 04 năm 2002; Luật sửa đổi, bổ sung một số điều của Bộ luật Lao động ngày 29 tháng 06 năm 2006;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Nghị quyết số 56/2006/NQ-QH11 ngày 29 tháng 06 năm 2006 của Quốc hội khoá XI về kế hoạch phát triển kinh tế - xã hội 5 năm giai đoạn 2006 - 2010;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Xét đề nghị của Bộ trưởng Bộ Lao động - Thương binh và Xã hội,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r>
        <w:t xml:space="preserve"> Quy định mức lương tối thiểu vùng áp dụng đối với: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Công ty được thành lập, tổ chức quản lý và hoạt động theo Luật Doanh nghiệp nhà nước.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Công ty trách nhiệm hữu hạn một thành viên do Nhà nước sở hữu 100% vốn điều lệ được tổ chức quản lý và hoạt động theo Luật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Doanh nghiệp thành lập, tổ chức quản lý và hoạt động theo Luật Doanh nghiệp (không bao gồm doanh nghiệp có vốn đầu tư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Hợp tác xã, liên hiệp hợp tác xã, tổ hợp tác, trang trại, hộ gia đình, cá nhân và các tổ chức khác của Việt Nam có thuê mướn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công ty, doanh nghiệp, tổ chức, cá nhân quy định tại các khoản 1, 2, 3 và 4 Điều này gọi chung là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r>
        <w:t xml:space="preserve">. Mức lương tối thiểu vùng dùng để trả công đối với người lao động làm công việc giản đơn nhất trong điều kiện lao động bình thường ở các doanh nghiệp quy định tại Điều 1 Nghị định này thực hiện từ ngày 01 tháng 01 năm 2008 theo các vùng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Mức 620.000 đồng/tháng áp dụng đối với doanh nghiệp hoạt động trên địa bàn các quận thuộc thành phố Hà Nội, thành phố Hồ Chí Minh.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Mức 580.000 đồng/tháng áp dụng đối với doanh nghiệp hoạt động trên địa bàn các huyện thuộc thành phố Hà Nội, thành phố Hồ Chí Minh; các quận thuộc thành phố Hải Phòng; thành phố Hạ Long thuộc tỉnh Quảng Ninh; thành phố Biên Hoà, thị xã Long Khánh, các huyện Nhơn Trạch, Long Thành, Vĩnh Cửu và Trảng Bom thuộc tỉnh Đồng Nai; thị xã Thủ Dầu Một, các huyện: Thuận An, Dĩ An, Bến Cát và Tân Uyên thuộc tỉnh Bình Dương; thành phố Vũng Tàu thuộc tỉnh Bà Rịa - Vũng Tàu.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Mức 540.000 đồng/tháng áp dụng đối với doanh nghiệp hoạt động trên các địa bàn còn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Doanh nghiệp quy định tại khoản 1 và khoản 2 Điều 1 Nghị định này áp dụng mức lương tối thiểu vùng quy định tại Điều 2 Nghị định này để tính đơn giá tiền lương.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doanh nghiệp quy định tại khoản 1 Điều 1 Nghị định này bảo đảm các điều kiện quy định tại Điều 4 Nghị định số </w:t>
      </w:r>
      <w:hyperlink r:id="rId4" w:history="1">
        <w:r>
          <w:rPr>
            <w:rStyle w:val="Hyperlink"/>
          </w:rPr>
          <w:t xml:space="preserve">206/2004/NĐ-CP </w:t>
        </w:r>
      </w:hyperlink>
      <w:r>
        <w:t xml:space="preserve"> ngày 14 tháng 12 năm 2004 của Chính phủ quy định quản lý lao động, tiền lương, thu nhập trong các công ty nhà nước thì được áp dụng hệ số điều chỉnh tăng thêm không quá 1,34 lần so với mức lương tối thiểu chung; trường hợp bảo đảm các điều kiện quy định tại Điều 4 Nghị định số 206/2004/NĐ-CP và có lợi nhuận kế hoạch cao hơn từ 5% trở lên so với lợi nhuận thực hiện của năm trước liền kề thì áp dụng hệ số điều chỉnh tăng thêm tối đa không quá 2 lần so với mức lương tối thiểu chung quy định tại Nghị định số 166/2007/NĐ-CP ngày 16 tháng 11 năm 2007 để tính đơn giá tiền lương.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doanh nghiệp quy định tại khoản 3 và khoản 4 Điều 1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Áp dụng mức lương tối thiểu vùng quy định tại Điều 2 Nghị định này để tính các mức lương trong thang lương, bảng lương, các loại phụ cấp lương, tính các mức lương ghi trong hợp đồng lao động và thực hiện các chế độ khác do doanh nghiệp xây dựng và ban hành theo thẩm quyền do pháp luật lao động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Mức tiền lương thấp nhất trả cho người lao động đã qua học nghề (kể cả lao động do doanh nghiệp tự dạy nghề) phải cao hơn ít nhất 7% so với mức lương tối thiểu vùng quy định tại Điều 2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Khuyến khích các doanh nghiệp thực hiện mức lương tối thiểu cao hơn mức lương tối thiểu vùng quy định tại Điều 2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Căn cứ mức lương tối thiểu vùng quy định tại Điều 2 Nghị định này, doanh nghiệp điều chỉnh lại tiền lương trong hợp đồng lao động cho phù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Mức lương tối thiểu vùng quy định tại Điều 2 Nghị định này được điều chỉnh tuỳ thuộc vào mức tăng trưởng kinh tế, chỉ số giá sinh hoạt và cung cầu lao động theo từng thời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Bộ Lao động - Thương binh và Xã hội sau khi lấy ý kiến Tổng Liên đoàn Lao động Việt Nam, đại diện người sử dụng lao động và Bộ, ngành liên quan trình Chính phủ điều chỉnh mức lương tối thiểu vùng quy định tại Điều 2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w:t>
      </w:r>
      <w:r>
        <w:t xml:space="preserve"> Nghị định này có hiệu lực thi hành kể từ ngày 01 tháng 01 năm 2008</w:t>
      </w: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Lao động - Thương binh và Xã hội chịu trách nhiệm hướng dẫn thi hành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w:t>
      </w:r>
      <w:r>
        <w:t xml:space="preserve">. Các Bộ trưởng, Thủ trưởng cơ quan ngang Bộ, Thủ trưởng cơ quan thuộc Chính phủ, Chủ tịch Ủy ban nhân dân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167-2007-nd-cp.aspx" TargetMode="External" /><Relationship Id="rId4" Type="http://schemas.openxmlformats.org/officeDocument/2006/relationships/hyperlink" Target="/nghi-dinh-so-206-2004-nd-cp-cua-chinh-phu---nghi-dinh-quy-dinh-quan-ly-lao-dong--tien-luong-va-thu-nhap-trong-cac-cong-ty-nha-nuoc.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2022-06-21T17:42:37Z</dcterms:created>
  <dcterms:modified xsi:type="dcterms:W3CDTF">2022-06-21T17:42:37Z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2022-06-21T17:42:37Z</dcterms:created>
  <dcterms:modified xsi:type="dcterms:W3CDTF">2022-06-21T17:42:37Z</dcterms:modified>
</cp:coreProperties>
</file>