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KHÁNH HÒA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3079/QĐ-UBND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Khánh Hòa, ngày 22 tháng 11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VIỆC ĐIỀU CHỈNH DỰ TOÁN XÂY DỰNG CÔNG TRÌNH, DỰ TOÁN CHI PHÍ KHẢO SÁT XÂYDỰNG, DỰ TOÁN DỊCH VỤ CÔNG ÍCH ĐÔ THỊ THEO NGHỊ ĐỊNH SỐ </w:t>
      </w:r>
      <w:hyperlink r:id="rId3" w:history="1">
        <w:r>
          <w:rPr>
            <w:rStyle w:val="Hyperlink"/>
          </w:rPr>
          <w:t xml:space="preserve">70/2011/NĐ-CP </w:t>
        </w:r>
      </w:hyperlink>
      <w:r>
        <w:t xml:space="preserve"> NGÀY22/8/2011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KHÁNH HÒA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ngày26/11/2003;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sửa đổi, bổ sung mộtsố điều của các luật liên quan đến đầu tư xây dựng cơ bản ngày 19/6/2009;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12/2009/NĐ-CP </w:t>
        </w:r>
      </w:hyperlink>
      <w:r>
        <w:rPr>
          <w:i/>
        </w:rPr>
        <w:t xml:space="preserve"> ngày 12/02/2009 của Chính phủ về quản lý dự án đầu tư xây dựngcông trình và Nghị định số 83/2009/NĐ-CP ngày 15/10/2009 về sửa đổi bổ sung mộtsố điều Nghị định số 12/2009/NĐ-CP ngày 12/02/2009 của Chính phủ về quản lý dựán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112/2009/NĐ-CP ngày 14/12/2009 của Chính phủ về quản lý chi phí đầu tư xây dựngcông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48/2010/NĐ-CP </w:t>
        </w:r>
      </w:hyperlink>
      <w:r>
        <w:rPr>
          <w:i/>
        </w:rPr>
        <w:t xml:space="preserve"> ngày 07/5/2010 của Chính phủ về hợp đồng trong hoạt động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số70/2011/NĐ-CP ngày 22/8/2011 của Chính phủ quy định mức lương tối thiểu vùngđối với người lao động làm việc ở công ty, doanh nghiệp, hợp tác xã, tổ hợptác, trang trại, hộ gia đình, cá nhân và các cơ quan, tổ chức có thuê mướn laođộng;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23/2011/TT-BLĐTBXH </w:t>
        </w:r>
      </w:hyperlink>
      <w:r>
        <w:rPr>
          <w:i/>
        </w:rPr>
        <w:t xml:space="preserve"> ngày 16/9/2011 của Bộ Lao động - Thương binh và Xã hội hướngdẫn thực hiện mức lương tối thiểu vùng đối với người lao động làm việc ở côngty, doanh nghiệp, hợp tác xã, tổ hợp tác, trang trại, hộ gia đình, cá nhân vàcác cơ quan, tổ chức có thuê mướn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04/2010/TT-BXD </w:t>
        </w:r>
      </w:hyperlink>
      <w:r>
        <w:rPr>
          <w:i/>
        </w:rPr>
        <w:t xml:space="preserve"> ngày 26/5/2010 của Bộ Xây dựng hướng dẫn lập và quản lý chi phíđầu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1730/BXD-KTXD ngày 20/10/2011 của Bộ Xây dựng về việc hướng dẫn điều chỉnh dự toán xây dựngcông trình theo mức lương tối thiểu mới từ ngày 01/10/2011 theo quy định tạiNghị định số 70/2011/NĐ-CP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Xâydựng Khánh Hòa,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Quy định việc điềuchỉnh đơn giá, dự toán xây dựng công trình, dự toán chi phí khảo sát xây dựng,dự toán dịch vụ công ích đô thị, điều chỉnh giá hợp đồng và một số chi phí kháctrong dự toán xây dựng công trình thuộc các dự án đầu tư xây dựng công trình,quy hoạch xây dựng, dịch vụ công ích đô thị sử dụng nguồn vốn ngân sách nhànước đối với những khối lượng thực hiện từ ngày 01/10/2011 theo Nghị định số70/2011/NĐ-CP ngày 22/8/2011 của Chính phủ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dự toán xây dựng côngtrình: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dự án đầu tư xâydựng công trình thực hiện việc quản lý chi phí đầu tư xây dựng công trình theoquy định tại Nghị định số 99/2007/NĐ-CP ngày 13/6/2007 và Nghị định số112/2009/NĐ-CP ngày 14/12/2009 của Chính phủ về Quản lý chi phí đầu tư xây dựngcông trình thì việc điều chỉnh dự toán công trình do Chủ đầu tư thực hiện nhưngkhông được vượt tổng mức đầu tư phê duyệt. Trường hợp dự toán công trình điềuchỉnh làm vượt tổng mức đầu tư được phê duyệt thì Chủ đầu tư phải báo cáo Ngườiquyết định đầu tư trước khi tổ chức thẩm định dự toán và trình người quyết địnhđầu tư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dự án đầu tư xâydựng công trình thực hiện việc quản lý chi phí đầu tư xây dựng công trình theoquy định trước ngày Nghị định số </w:t>
      </w:r>
      <w:hyperlink r:id="rId8" w:history="1">
        <w:r>
          <w:rPr>
            <w:rStyle w:val="Hyperlink"/>
          </w:rPr>
          <w:t xml:space="preserve">99/2007/NĐ-CP </w:t>
        </w:r>
      </w:hyperlink>
      <w:r>
        <w:t xml:space="preserve"> ngày 13/6/2007 của Chính phủ vềQuản lý chi phí đầu tư xây dựng công trình có hiệu lực thi hành, Chủ đầu tưthực hiện điều chỉnh dự toán xây dựng trên cơ sở điều chỉnh chi phí nhân công,chi phí máy thi công (phần nhân công) theo mức lương tối thiểu mới đối vớinhững khối lượng còn lại của dự án, gói thầu thực hiện từ ngày 01/10/2011. Nếudự toán công trình điều chỉnh làm vượt tổng mức đầu tư thì Chủ đầu tư báo cáoNgười quyết định đầu tư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khảo sát và chi phí dịchvụ công ích đô thị trên địa bàn tỉnh Khánh Hòa cũng được điều chỉnh theo nguyêntắc trong mục 1 nêu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pháp điều chỉnh giá trịdự toán thực hiện theo các quy định hiện hành của Bộ Xây dựng và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Hệ số điều chỉnh chi phí nhâncông (KĐCNC) và hệ số điều chỉnh chi phí máy thi công (KĐCMTC) cho các dự toánxây dựng công trình, dự toán chi phí khảo sát xây dựng, dự toán dịch vụ côngích đô thị lập theo các đơn giá do UBND tỉnh Khánh Hòa ban hành, công bố nhưPhụ lục ban hành kèm theo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Điều chỉnh giá trị hợp đồng:Việc điều chỉnh giá hợp đồng, giá thanh toán cho khối lượng thực hiện từ ngày01/10/2011, thực hiện theo nội dung hợp đồng đã ký giữa các bên, Nghị định số48/2010/NĐ-CP ngày 07/5/2010 của Chính phủ và các quy định hiện hành có liênquan.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Phương pháp điều chỉnh giá trịhợp đồng bổ sung thực hiện theo các quy định hiện hành của Bộ Xây dựng và UBNDtỉnh.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với các dự án đầu tư xâydựng công trình áp dụng Quyết định số 12/QĐ-UBND ngày 05/01/2011 của UBND tỉnhKhánh Hòa</w:t>
      </w:r>
      <w:r>
        <w:rPr>
          <w:i/>
        </w:rPr>
        <w:t xml:space="preserve">về việc công bố Bảng giá ca máy và thiết bị thi công tỉnh KhánhHòa </w:t>
      </w:r>
      <w:r>
        <w:t xml:space="preserve">(Quyết định số 12/QĐ-UBND để lập, phê duyệt dự toán xây dựng côngtrình, thì chủ đầu tư thực hiện điều chỉnh chi phí máy thi công trong dự toánxây dựng công trình theo mức lương tối thiểu mới từ ngày 01/10/2011,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Bù tiền lương thợ lái máy </w:t>
      </w:r>
      <w:r>
        <w:t xml:space="preserve">trêncơ sở hao phí nhân công thợ lái máy trong giá ca máy và chênh lệch giữa lươngngày công tính theo lương tối thiểu vùng mới ở khu vực thực hiện dự án và lươngngày công tính theo lương tối thiểu vùng áp dụng trong Quyết định số 12/QĐ-UBND.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khoản mục chi phí tính bằngđịnh mức tỷ lệ (%) trong dự toán chi phí xây dựng bao gồm: Chi phí trực tiếpkhác, chi phí chung, thu nhập chịu thuế tính trước, thuế giá trị gia tăng, chiphí nhà tạm tại hiện trường để ở và điều hành thi công thực hiện theo quy địnhhiện hành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mục chi phí khác trong dựtoán xây dựng công trình như: Chi phí quản lý dự án đầu tư xây dựng, chi phí tưvấn đầu tư xây dựng của công trình được tính bằng tỷ lệ (%) theo công bố của BộXây dựng hoặc bằng cách lập dự toán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tổ chức thực hiệnviệc điều chỉnh dự toán xây dựng công trình, dự toán chi phí khảo sát xây dựngđối với những khối lượng còn lại thực hiện từ ngày 01/10/2011 theo quy định tạiĐiều 1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huyện tổchức thực hiện việc điều chỉnh dự toán dịch vụ công ích đô thị đối với nhữngkhối lượng thực hiện từ ngày 01/10/2011 theo quy định tại Điều 1 Quyết địnhnày, gửi Sở Xây dựng thẩm định trình UBND 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UBNDtỉnh; Giám đốc các Sở, Ban, Ngành; Chủ tịch Ủy ban nhân dân các huyện, thị xã,thành phố trực thuộc tỉnh và Thủ trưởng các cơ quan liên quan chịu trách nhiệmthi hành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Bộ Xây dựng (báo cáo);</w:t>
            </w:r>
            <w:r>
              <w:rPr/>
              <w:br/>
            </w:r>
            <w:r>
              <w:t xml:space="preserve">- Đoàn Đại biểu Quốc hội tỉnh (b/c);</w:t>
            </w:r>
            <w:r>
              <w:rPr/>
              <w:br/>
            </w:r>
            <w:r>
              <w:t xml:space="preserve">- TT: Tỉnh ủy, HĐND tỉnh (báo cáo);</w:t>
            </w:r>
            <w:r>
              <w:rPr/>
              <w:br/>
            </w:r>
            <w:r>
              <w:t xml:space="preserve">- Chủ tịch UBND tỉnh (báo cáo);</w:t>
            </w:r>
            <w:r>
              <w:rPr/>
              <w:br/>
            </w:r>
            <w:r>
              <w:t xml:space="preserve">- Các PCT. UBND tỉnh;</w:t>
            </w:r>
            <w:r>
              <w:rPr/>
              <w:br/>
            </w:r>
            <w:r>
              <w:t xml:space="preserve">- Trung tâm Công báo tỉnh (2);</w:t>
            </w:r>
            <w:r>
              <w:rPr/>
              <w:br/>
            </w:r>
            <w:r>
              <w:t xml:space="preserve">- Các Phòng: TH, KT, VX, NC;</w:t>
            </w:r>
            <w:r>
              <w:rPr/>
              <w:br/>
            </w:r>
            <w:r>
              <w:t xml:space="preserve">- Lưu: VT, CN, MN, VC, HgP.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Lê Đức Vinh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HỆSỐ ĐIỀU CHỈNH DỰ TOÁN</w:t>
      </w:r>
      <w:r>
        <w:rPr/>
        <w:br/>
      </w:r>
      <w:r>
        <w:rPr>
          <w:i/>
        </w:rPr>
        <w:t xml:space="preserve">(Ban hành kèm theo Quyết định số 3079/QĐ-UBND ngày 22/11/2011 của UBND tỉnhKhánh Hòa)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thứ tự</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tác thuộc nhóm lương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 II </w:t>
            </w:r>
            <w:r>
              <w:rPr/>
              <w:br/>
            </w:r>
            <w:r>
              <w:t xml:space="preserve">(TP. Nha Trang, TP. Cam Ranh)</w:t>
            </w:r>
          </w:p>
        </w:tc>
        <w:tc>
          <w:tcPr>
            <w:tcW w:w="0" w:type="auto"/>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 III </w:t>
            </w:r>
            <w:r>
              <w:rPr/>
              <w:br/>
            </w:r>
            <w:r>
              <w:t xml:space="preserve">(Cam Lâm, Diên Khánh, TX. Ninh Hòa, Vạn Ninh)</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 IV </w:t>
            </w:r>
            <w:r>
              <w:rPr/>
              <w:br/>
            </w:r>
            <w:r>
              <w:t xml:space="preserve">(Các huyện còn lại của tỉnh)</w:t>
            </w: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Lương tối thiểu: 1.780.000 đồng/tháng</w:t>
            </w:r>
          </w:p>
        </w:tc>
        <w:tc>
          <w:tcPr>
            <w:tcW w:w="0" w:type="auto"/>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Lương tối thiểu: 1.550.000 đồng/tháng</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Lương tối thiểu: 1.400.000 đồng/tháng</w:t>
            </w: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điều chỉnh</w:t>
            </w:r>
          </w:p>
        </w:tc>
        <w:tc>
          <w:tcPr>
            <w:tcW w:w="0" w:type="auto"/>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điều chỉnh</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điều chỉnh</w:t>
            </w: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perscript"/>
              </w:rPr>
              <w:t xml:space="preserve">ĐC</w:t>
            </w:r>
            <w:r>
              <w:t xml:space="preserve">NC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perscript"/>
              </w:rPr>
              <w:t xml:space="preserve">ĐC</w:t>
            </w:r>
            <w:r>
              <w:t xml:space="preserve">MTC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perscript"/>
              </w:rPr>
              <w:t xml:space="preserve">ĐC</w:t>
            </w:r>
            <w:r>
              <w:t xml:space="preserve">NC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perscript"/>
              </w:rPr>
              <w:t xml:space="preserve">ĐC</w:t>
            </w:r>
            <w:r>
              <w:t xml:space="preserve">MTC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perscript"/>
              </w:rPr>
              <w:t xml:space="preserve">ĐC</w:t>
            </w:r>
            <w:r>
              <w:t xml:space="preserve">NC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perscript"/>
              </w:rPr>
              <w:t xml:space="preserve">ĐC</w:t>
            </w:r>
            <w:r>
              <w:t xml:space="preserve">MTC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Xây dựng cơ bản tỉnh Khánh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635/1999/QĐ-UB ngày 06/3/1999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14,88</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13,44</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18,18</w:t>
            </w: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15,83</w:t>
            </w:r>
          </w:p>
        </w:tc>
        <w:tc>
          <w:tcPr>
            <w:tcW w:w="0" w:type="auto"/>
            <w:gridSpan w:val="5"/>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14,30</w:t>
            </w: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19,24</w:t>
            </w: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16,75</w:t>
            </w:r>
          </w:p>
        </w:tc>
        <w:tc>
          <w:tcPr>
            <w:tcW w:w="0" w:type="auto"/>
            <w:gridSpan w:val="5"/>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15,13</w:t>
            </w: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20,40</w:t>
            </w: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17,77</w:t>
            </w:r>
          </w:p>
        </w:tc>
        <w:tc>
          <w:tcPr>
            <w:tcW w:w="0" w:type="auto"/>
            <w:gridSpan w:val="5"/>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16,05</w:t>
            </w:r>
          </w:p>
        </w:tc>
        <w:tc>
          <w:tcPr>
            <w:tcW w:w="0" w:type="auto"/>
            <w:gridSpan w:val="5"/>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công tác sửa chữa trong XDCB: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34/2004/QĐ-UB ngày 09/3/2004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bố 212/UBND ngày 10/01/2008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7,37</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6,66</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8,96</w:t>
            </w: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w:t>
            </w:r>
          </w:p>
        </w:tc>
        <w:tc>
          <w:tcPr>
            <w:tcW w:w="0" w:type="auto"/>
            <w:gridSpan w:val="5"/>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7,05</w:t>
            </w: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Xây dựng cấp thoát nước ngoài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35/2004/QĐ-UB ngày 09/3/2004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xây dựng công trình- Phần Lắp đặt: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31/2007/QĐ-UBND ngày 23/7/2007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86/QĐ-UBND ngày 10/01/2008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xây dựng công trình- Phần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33/2007/QĐ-UBND ngày 23/7/2007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84/QĐ-UBND ngày 10/01/2008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w:t>
            </w: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w:t>
            </w:r>
          </w:p>
        </w:tc>
        <w:tc>
          <w:tcPr>
            <w:tcW w:w="0" w:type="auto"/>
            <w:gridSpan w:val="5"/>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w:t>
            </w:r>
          </w:p>
        </w:tc>
        <w:tc>
          <w:tcPr>
            <w:tcW w:w="0" w:type="auto"/>
            <w:gridSpan w:val="5"/>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w:t>
            </w: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w:t>
            </w:r>
          </w:p>
        </w:tc>
        <w:tc>
          <w:tcPr>
            <w:tcW w:w="0" w:type="auto"/>
            <w:gridSpan w:val="5"/>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w:t>
            </w: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xây dựng công trình- Phần Khảo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32/2007/QĐ-UBND ngày 23/7/2007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85/QĐ-UBND ngày 10/01/2008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Cắm mốc giới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23/QĐ-UBND ngày 07/01/2009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sửa chữa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1465/QĐ-UBND ngày 24/6/2009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 II,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XDCT trên Quần đảo Trường Sa: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1340/QĐ-UBND ngày 10/6/2009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1341/QĐ-UBND ngày 10/6/2009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Dịch vụ công ích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2342/QĐ-UBND ngày 23/9/2008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2343/QĐ-UBND ngày 23/9/2008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2344/QĐ-UBND ngày 23/9/2008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2345/QĐ-UBND ngày 23/9/2008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tính toán các loại phụ cấptrong chi phí nhân công của dự toán xây dựng công trình thực hiện theo quy địnhcủa UBND tỉnh Khánh Hòa tại từng thời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điều chỉnh giá ca máy trênđã bao gồm phần điều chỉnh theo giá nhiên liệu, năng lượng tại thời điểm tháng01 năm 2009 (Giá nhiên liệu, năng lượng tại thời điểm tháng 01 năm 2009 nhưsau: Giá nhiên liệu dầu là 10.667 đồng/lít; giá xăng là 11.000 đồng/lít và giáđiện là 1.006 đồng/kwh. Giá đã bao gồm thuế VAT). Khi lập dự toán chi phí xâydựng, dự toán dịch vụ công ích đô thị phải xác định lại giá (trước thuế) cácloại nhiên liệu, năng lượng như xăng, dầu, điện hoặc khí nén (đ/lít, đ/kWh,đ/m3) tính theo mức giá tại thời điểm lập dự toán, khu vực xây dựng công trìnhhoặc khu vực thực hiện dịch vụ công ích và tính toán bù trừ chênh lệch giánhiên liệu, năng lượng so với giá nhiên liệu, năng lượng tại thời điểm tháng 01năm 2009 vào chi phí máy thi công trong dự toán chi phí xây dựng, kể cả phầnchênh lệch của chi phí nhiên liệu, năng lượng phụ theo hệ số quy định so vớichi phí nhiên liệu, năng lượng chính (nếu có).</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70-2011-nd-cp-muc-luong-toi-thieu-vung-nguoi-lao-dong.aspx" TargetMode="External" /><Relationship Id="rId4" Type="http://schemas.openxmlformats.org/officeDocument/2006/relationships/hyperlink" Target="/nghi-dinh-so-12-2009-nd-cp-ve-quan-ly-du-an-dau-tu-xay-dung-cong-trinh.aspx" TargetMode="External" /><Relationship Id="rId5" Type="http://schemas.openxmlformats.org/officeDocument/2006/relationships/hyperlink" Target="/nghi-dinh-so-48-2010-nd-cp-cua-chinh-phu---ve-hop-dong-trong-hoat-dong-xay-dung.aspx" TargetMode="External" /><Relationship Id="rId6" Type="http://schemas.openxmlformats.org/officeDocument/2006/relationships/hyperlink" Target="/thong-tu-23-2011-tt-bldtbxh-huong-dan-muc-luong-toi-thieu-vung.aspx" TargetMode="External" /><Relationship Id="rId7" Type="http://schemas.openxmlformats.org/officeDocument/2006/relationships/hyperlink" Target="/thong-tu-04-2010-tt-bxd.aspx" TargetMode="External" /><Relationship Id="rId8" Type="http://schemas.openxmlformats.org/officeDocument/2006/relationships/hyperlink" Target="/nghi-dinh-so-99-2007-nd-cp-ve-quan-ly-chi-phi-dau-tu-xay-dung-cong-trinh.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2022-06-21T15:50:29Z</dcterms:created>
  <dcterms:modified xsi:type="dcterms:W3CDTF">2022-06-21T15:50:29Z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2022-06-21T15:50:29Z</dcterms:created>
  <dcterms:modified xsi:type="dcterms:W3CDTF">2022-06-21T15:50:29Z</dcterms:modified>
</cp:coreProperties>
</file>