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03"/>
        <w:gridCol w:w="5801"/>
      </w:tblGrid>
      <w:tr w:rsidR="00925476" w14:paraId="07B62E84" w14:textId="77777777" w:rsidTr="0092547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FAFDC" w14:textId="77777777" w:rsidR="00925476" w:rsidRDefault="0092547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p>
          <w:p w14:paraId="1C0A6D61"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t>Luật số: 106/2016/QH13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2EFCA" w14:textId="77777777" w:rsidR="00925476" w:rsidRDefault="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C85F226" w14:textId="77777777" w:rsidR="00925476" w:rsidRDefault="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09A76683"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761466BC" w14:textId="77777777" w:rsidR="00925476" w:rsidRDefault="00925476">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Hà Nội, ngày 06 tháng 4 năm 2016</w:t>
            </w:r>
          </w:p>
        </w:tc>
      </w:tr>
    </w:tbl>
    <w:p w14:paraId="732326F0" w14:textId="77777777" w:rsidR="00925476" w:rsidRDefault="00925476" w:rsidP="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699ACBE" w14:textId="77777777" w:rsidR="00925476" w:rsidRDefault="00925476" w:rsidP="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LUẬT THUẾ GIÁ TRỊ GIA TĂNG, LUẬT THUẾ TIÊU THỤ ĐẶC BIỆT VÀ LUẬT QUẢN LÝ THUẾ</w:t>
      </w:r>
    </w:p>
    <w:p w14:paraId="7084A9B2"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C6F061B"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Luật sửa đổi, bổ sung một số điều của Luật thuế giá trị gia tăng số 13/2008/QH12 đã được sửa đổi, bổ sung một số Điều theo Luật số 31/2013/QH13, Luật thuế tiêu thụ đặc biệt số 27/2008/QH12 đã được sửa đổi, bổ sung một số Điều theo Luật số 70/2014/QH13, Luật quản lý thuế số 78/2006/QH11 đã được sửa đổi, bổ sung một số Điều theo Luật số 21/2012/QH13 và Luật số 71/2014/QH13.</w:t>
      </w:r>
    </w:p>
    <w:p w14:paraId="3A49F7C6"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42B34916"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w:t>
      </w:r>
      <w:hyperlink r:id="rId7" w:history="1">
        <w:r>
          <w:rPr>
            <w:rStyle w:val="Hyperlink"/>
            <w:rFonts w:ascii="Arial" w:hAnsi="Arial" w:cs="Arial"/>
            <w:color w:val="135ECD"/>
            <w:sz w:val="21"/>
            <w:szCs w:val="21"/>
          </w:rPr>
          <w:t>Luật thuế giá trị gia tăng số 13/2008/QH12</w:t>
        </w:r>
      </w:hyperlink>
      <w:r>
        <w:rPr>
          <w:rFonts w:ascii="Arial" w:hAnsi="Arial" w:cs="Arial"/>
          <w:color w:val="000000"/>
          <w:sz w:val="21"/>
          <w:szCs w:val="21"/>
        </w:rPr>
        <w:t> đã được sửa đổi, bổ sung một số Điều theo Luật số 31/2013/QH13:</w:t>
      </w:r>
    </w:p>
    <w:p w14:paraId="7307A8E1"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1, 9 và 23 Điều 5 được sửa đổi, bổ sung như sau:</w:t>
      </w:r>
    </w:p>
    <w:p w14:paraId="07E6C26B"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trồng trọt, chăn nuôi, thủy sản nuôi trồng, đánh bắt chưa chế biến thành các sản phẩm khác hoặc chỉ qua sơ chế thông thường của tổ chức, cá nhân tự sản xuất, đánh bắt bán ra và ở khâu nhập khẩu.</w:t>
      </w:r>
    </w:p>
    <w:p w14:paraId="3ABD2DF5"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hợp tác xã mua sản phẩm trồng trọt, chăn nuôi, thủy sản nuôi trồng, đánh bắt chưa chế biến thành các sản phẩm khác hoặc chỉ qua sơ chế thông thường bán cho doanh nghiệp, hợp tác xã khác thì không phải kê khai, tính nộp thuế giá trị gia tăng nhưng được khấu trừ thuế giá trị gia tăng đầu vào.”</w:t>
      </w:r>
    </w:p>
    <w:p w14:paraId="0698D47E"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Dịch vụ y tế, dịch vụ thú y, bao gồm dịch vụ khám bệnh, chữa bệnh, phòng bệnh cho người và vật nuôi; dịch vụ chăm sóc người cao tuổi, người khuyết tật.”</w:t>
      </w:r>
    </w:p>
    <w:p w14:paraId="301C9A00"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Sản phẩm xuất khẩu là tài nguyên, khoáng sản khai thác chưa chế biến thành sản phẩm khác;sản phẩm xuất khẩu là hàng hóa được chế biến từ tài nguyên, khoáng sản có tổng trị giá tài nguyên, khoáng sản cộng với chi phí năng lượng chiếm từ 51% giá thành sản phẩm trở lên.”</w:t>
      </w:r>
    </w:p>
    <w:p w14:paraId="544CBCA1"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Điểm g Khoản 1 Điều 8 được sửa đổi, bổ sung như sau:</w:t>
      </w:r>
    </w:p>
    <w:p w14:paraId="1EED4308"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Sản phẩm xuất khẩu quy định tại Khoản 23 Điều 5 của Luật này.</w:t>
      </w:r>
    </w:p>
    <w:p w14:paraId="0F315BE2"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là hàng hóa, dịch vụ được tiêu dùng ở ngoài Việt Nam, trong khu phi thuế quan; hàng hóa, dịch vụ cung cấp cho khách hàng nước ngoài theo quy định của Chính phủ.”</w:t>
      </w:r>
    </w:p>
    <w:p w14:paraId="739E95A3"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1 và Khoản 2 Điều 13 được sửa đổi, bổ sung như sau:</w:t>
      </w:r>
    </w:p>
    <w:p w14:paraId="25DF7252"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nếu có số thuế giá trị gia tăng đầu vào chưa được khấu trừ hết trong tháng hoặc trong quý thì được khấu trừ vào kỳ tiếp theo.</w:t>
      </w:r>
    </w:p>
    <w:p w14:paraId="0831810B"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đã đăng ký nộp thuế giá trị gia tăng theo phương pháp khấu trừ có dự án đầu tư mới, đang trong giai đoạn đầu tư có số thuế giá trị gia tăng của hàng hóa, dịch vụ mua vào sử dụng cho đầu tư mà chưa được khấu trừ và có số thuế còn lại từ ba trăm triệu đồng trở lên thì được hoàn thuế giá trị gia tăng.</w:t>
      </w:r>
    </w:p>
    <w:p w14:paraId="6E3040E2"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không được hoàn thuế giá trị gia tăng mà được kết chuyển số thuế chưa được khấu trừ của dự án đầu tư theo quy định của pháp luật về đầu tư sang kỳ tiếp theo đối với các trường hợp:</w:t>
      </w:r>
    </w:p>
    <w:p w14:paraId="4C361FA7"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của cơ sở kinh doanh không góp đủ số vốn Điều lệ như đã đăng ký; kinh doanh ngành, nghề đầu tư kinh doanh có Điều kiện khi chưa đủ các Điều kiện kinh doanh theo quy định của Luật đầu tư hoặc không bảo đảm duy trì đủ Điều kiện kinh doanh trong quá trình hoạt động;</w:t>
      </w:r>
    </w:p>
    <w:p w14:paraId="536925C1"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khai thác tài nguyên, khoáng sản được cấp phép từ ngày 01 tháng 7 năm 2016 hoặc dự án đầu tư sản xuất sản phẩm hàng hóa mà tổng trị giá tài nguyên, khoáng sản cộng với chi phí năng lượng chiếm từ 51% giá thành sản phẩm trở lên theo dự án đầu tư.</w:t>
      </w:r>
    </w:p>
    <w:p w14:paraId="03DA4006"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66D6D0A9"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trong tháng, quý có hàng hóa, dịch vụ xuất khẩu nếu có số thuế giá trị gia tăng đầu vào chưa được khấu trừ từ ba trăm triệu đồng trở lên thì được hoàn thuế giá trị gia tăng theo tháng, quý, trừ trường hợp hàng hóa nhập khẩu để xuất khẩu, hàng hóa xuất khẩu không thực hiện việc xuất khẩu tại địa bàn hoạt động hải quan theo quy định của Luật hải quan. Thực hiện hoàn thuế trước, kiểm tra sau đối với người nộp thuế sản xuất hàng hóa xuất khẩu không vi phạm pháp luật về thuế, hải quan trong thời gian hai năm liên tục; người nộp thuế không thuộc đối tượng rủi ro cao theo quy định của Luật quản lý thuế.”</w:t>
      </w:r>
    </w:p>
    <w:p w14:paraId="5A0FE339"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2E8CD6E7"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Sửa đổi, bổ sung một số Điều của Luật thuế tiêu thụ đặc biệt số 27/2008/QH12 đã được sửa đổi, bổ sung một số Điều theo Luật số 70/2014/QH13:</w:t>
      </w:r>
    </w:p>
    <w:p w14:paraId="6C1D238C"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1 và Khoản 2 Điều 6 được sửa đổi, bổ sung như sau:</w:t>
      </w:r>
    </w:p>
    <w:p w14:paraId="34E9A493"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sản xuất trong nước, hàng hóa nhập khẩu là giá do cơ sở sản xuất, cơ sở nhập khẩu bán ra.</w:t>
      </w:r>
    </w:p>
    <w:p w14:paraId="025B78D8"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chịu thuế tiêu thụ đặc biệt được bán cho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tính thuế tiêu thụ đặc biệt không được thấp hơn tỷ lệ phần trăm (%) so với giá bình quân của các cơ sở kinh doanh thương mại mua trực tiếp của cơ sở sản xuất, cơ sở nhập khẩu bán ra theo quy định của Chính phủ;</w:t>
      </w:r>
    </w:p>
    <w:p w14:paraId="0A3796FE"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nhập khẩu tại khâu nhập khẩu là giá tính thuế nhập khẩu cộng với thuế nhập khẩu. Trường hợp hàng hóa nhập khẩu được miễn, giảm thuế nhập khẩu thì giá tính thuế không bao gồm số thuế nhập khẩu được miễn, giảm. Hàng hoá chịu thuế tiêu thụ đặc biệt nhập khẩu được khấu trừ số thuế tiêu thụ đặc biệt đã nộp ở khâu nhập khẩu khi xác định số thuế tiêu thụ đặc biệt phải nộp bán ra;”</w:t>
      </w:r>
    </w:p>
    <w:p w14:paraId="11A83B50"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4 Mục I Biểu thuế tiêu thụ đặc biệt quy định tại Điều 7 được sửa đổi, bổ sung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01"/>
        <w:gridCol w:w="6238"/>
        <w:gridCol w:w="2065"/>
      </w:tblGrid>
      <w:tr w:rsidR="00925476" w14:paraId="4D05A3FB" w14:textId="77777777" w:rsidTr="00925476">
        <w:trPr>
          <w:tblHeader/>
          <w:tblCellSpacing w:w="0" w:type="dxa"/>
        </w:trPr>
        <w:tc>
          <w:tcPr>
            <w:tcW w:w="71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DF81689" w14:textId="77777777" w:rsidR="00925476" w:rsidRDefault="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5765A" w14:textId="77777777" w:rsidR="00925476" w:rsidRDefault="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hóa, dịch vụ</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A1E34" w14:textId="77777777" w:rsidR="00925476" w:rsidRDefault="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w:t>
            </w:r>
          </w:p>
        </w:tc>
      </w:tr>
      <w:tr w:rsidR="00925476" w14:paraId="334D1176"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0AE05"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0EDDA"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 dưới 24 chỗ</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419DBD" w14:textId="77777777" w:rsidR="00925476" w:rsidRDefault="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925476" w14:paraId="0EAED3B7"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39F61"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618F7"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ô tô chở người từ 9 chỗ trở xuống, trừ loại quy định tại các Điểm 4đ, 4e và 4g của Biểu thuế quy định tại Điều này</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89593" w14:textId="77777777" w:rsidR="00925476" w:rsidRDefault="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925476" w14:paraId="29B1A53F"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CC681" w14:textId="77777777" w:rsidR="00925476" w:rsidRDefault="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83773"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từ 1.500 cm</w:t>
            </w:r>
            <w:r>
              <w:rPr>
                <w:rFonts w:ascii="Arial" w:hAnsi="Arial" w:cs="Arial"/>
                <w:color w:val="000000"/>
                <w:sz w:val="21"/>
                <w:szCs w:val="21"/>
                <w:vertAlign w:val="superscript"/>
              </w:rPr>
              <w:t>3</w:t>
            </w:r>
            <w:r>
              <w:rPr>
                <w:rFonts w:ascii="Arial" w:hAnsi="Arial" w:cs="Arial"/>
                <w:color w:val="000000"/>
                <w:sz w:val="21"/>
                <w:szCs w:val="21"/>
              </w:rPr>
              <w:t> trở xuống</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428E5"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925476" w14:paraId="0AD4E456" w14:textId="77777777" w:rsidTr="00925476">
        <w:trPr>
          <w:tblCellSpacing w:w="0" w:type="dxa"/>
        </w:trPr>
        <w:tc>
          <w:tcPr>
            <w:tcW w:w="71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D2360"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2EA46"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7 năm 2016 đến hết ngày 31 tháng 12 năm 2017</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25573"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r>
      <w:tr w:rsidR="00925476" w14:paraId="48DDF1A8" w14:textId="77777777" w:rsidTr="00925476">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4487CA1" w14:textId="77777777" w:rsidR="00925476" w:rsidRDefault="00925476">
            <w:pPr>
              <w:spacing w:line="375" w:lineRule="atLeast"/>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1E79C"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01 năm 2018</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F0B35"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r>
      <w:tr w:rsidR="00925476" w14:paraId="17BE7767"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C882F"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137DB"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1.500 cm</w:t>
            </w:r>
            <w:r>
              <w:rPr>
                <w:rFonts w:ascii="Arial" w:hAnsi="Arial" w:cs="Arial"/>
                <w:color w:val="000000"/>
                <w:sz w:val="21"/>
                <w:szCs w:val="21"/>
                <w:vertAlign w:val="superscript"/>
              </w:rPr>
              <w:t>3</w:t>
            </w:r>
            <w:r>
              <w:rPr>
                <w:rFonts w:ascii="Arial" w:hAnsi="Arial" w:cs="Arial"/>
                <w:color w:val="000000"/>
                <w:sz w:val="21"/>
                <w:szCs w:val="21"/>
              </w:rPr>
              <w:t> đến 2.000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8C304" w14:textId="77777777" w:rsidR="00925476" w:rsidRDefault="00925476">
            <w:pPr>
              <w:pStyle w:val="NormalWeb"/>
              <w:spacing w:after="90" w:afterAutospacing="0" w:line="345" w:lineRule="atLeast"/>
              <w:jc w:val="center"/>
              <w:rPr>
                <w:rFonts w:ascii="Arial" w:hAnsi="Arial" w:cs="Arial"/>
                <w:color w:val="000000"/>
                <w:sz w:val="21"/>
                <w:szCs w:val="21"/>
              </w:rPr>
            </w:pPr>
          </w:p>
        </w:tc>
      </w:tr>
      <w:tr w:rsidR="00925476" w14:paraId="22F9F2C5"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F76325"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A322D0"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7 năm 2016 đến hết ngày 31 tháng 12 năm 2017</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B4B05"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r>
      <w:tr w:rsidR="00925476" w14:paraId="21C8CFDA"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33998"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567BE"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01 năm 2018</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9B09A"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r>
      <w:tr w:rsidR="00925476" w14:paraId="2B50C450"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A91BF" w14:textId="77777777" w:rsidR="00925476" w:rsidRDefault="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62506"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2.000 cm</w:t>
            </w:r>
            <w:r>
              <w:rPr>
                <w:rFonts w:ascii="Arial" w:hAnsi="Arial" w:cs="Arial"/>
                <w:color w:val="000000"/>
                <w:sz w:val="21"/>
                <w:szCs w:val="21"/>
                <w:vertAlign w:val="superscript"/>
              </w:rPr>
              <w:t>3</w:t>
            </w:r>
            <w:r>
              <w:rPr>
                <w:rFonts w:ascii="Arial" w:hAnsi="Arial" w:cs="Arial"/>
                <w:color w:val="000000"/>
                <w:sz w:val="21"/>
                <w:szCs w:val="21"/>
              </w:rPr>
              <w:t> đến 2.500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752D0"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r>
      <w:tr w:rsidR="00925476" w14:paraId="7423902D"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8073B" w14:textId="77777777" w:rsidR="00925476" w:rsidRDefault="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8A37EE"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2.500 cm</w:t>
            </w:r>
            <w:r>
              <w:rPr>
                <w:rFonts w:ascii="Arial" w:hAnsi="Arial" w:cs="Arial"/>
                <w:color w:val="000000"/>
                <w:sz w:val="21"/>
                <w:szCs w:val="21"/>
                <w:vertAlign w:val="superscript"/>
              </w:rPr>
              <w:t>3</w:t>
            </w:r>
            <w:r>
              <w:rPr>
                <w:rFonts w:ascii="Arial" w:hAnsi="Arial" w:cs="Arial"/>
                <w:color w:val="000000"/>
                <w:sz w:val="21"/>
                <w:szCs w:val="21"/>
              </w:rPr>
              <w:t> đến 3.000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90629B" w14:textId="77777777" w:rsidR="00925476" w:rsidRDefault="00925476">
            <w:pPr>
              <w:pStyle w:val="NormalWeb"/>
              <w:spacing w:after="90" w:afterAutospacing="0" w:line="345" w:lineRule="atLeast"/>
              <w:jc w:val="center"/>
              <w:rPr>
                <w:rFonts w:ascii="Arial" w:hAnsi="Arial" w:cs="Arial"/>
                <w:color w:val="000000"/>
                <w:sz w:val="21"/>
                <w:szCs w:val="21"/>
              </w:rPr>
            </w:pPr>
          </w:p>
        </w:tc>
      </w:tr>
      <w:tr w:rsidR="00925476" w14:paraId="4A5B8E31"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EF8B6"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81EA2"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07 năm 2016 đến hết ngày 31 tháng 12 năm 2017</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BEF63"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r>
      <w:tr w:rsidR="00925476" w14:paraId="26EADAF7"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AD6DA"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C135FF"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01 năm 2018</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15872"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w:t>
            </w:r>
          </w:p>
        </w:tc>
      </w:tr>
      <w:tr w:rsidR="00925476" w14:paraId="4ABC4940"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DF0F7F"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245D6"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3.000 cm</w:t>
            </w:r>
            <w:r>
              <w:rPr>
                <w:rFonts w:ascii="Arial" w:hAnsi="Arial" w:cs="Arial"/>
                <w:color w:val="000000"/>
                <w:sz w:val="21"/>
                <w:szCs w:val="21"/>
                <w:vertAlign w:val="superscript"/>
              </w:rPr>
              <w:t>3</w:t>
            </w:r>
            <w:r>
              <w:rPr>
                <w:rFonts w:ascii="Arial" w:hAnsi="Arial" w:cs="Arial"/>
                <w:color w:val="000000"/>
                <w:sz w:val="21"/>
                <w:szCs w:val="21"/>
              </w:rPr>
              <w:t> đến 4.000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1E269E"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r>
      <w:tr w:rsidR="00925476" w14:paraId="43FAD576"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2EB86"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25443"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4.000 cm</w:t>
            </w:r>
            <w:r>
              <w:rPr>
                <w:rFonts w:ascii="Arial" w:hAnsi="Arial" w:cs="Arial"/>
                <w:color w:val="000000"/>
                <w:sz w:val="21"/>
                <w:szCs w:val="21"/>
                <w:vertAlign w:val="superscript"/>
              </w:rPr>
              <w:t>3</w:t>
            </w:r>
            <w:r>
              <w:rPr>
                <w:rFonts w:ascii="Arial" w:hAnsi="Arial" w:cs="Arial"/>
                <w:color w:val="000000"/>
                <w:sz w:val="21"/>
                <w:szCs w:val="21"/>
              </w:rPr>
              <w:t> đến 5.000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76D58"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w:t>
            </w:r>
          </w:p>
        </w:tc>
      </w:tr>
      <w:tr w:rsidR="00925476" w14:paraId="24D9886A"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BD987"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4B25B"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5.000 cm</w:t>
            </w:r>
            <w:r>
              <w:rPr>
                <w:rFonts w:ascii="Arial" w:hAnsi="Arial" w:cs="Arial"/>
                <w:color w:val="000000"/>
                <w:sz w:val="21"/>
                <w:szCs w:val="21"/>
                <w:vertAlign w:val="superscript"/>
              </w:rPr>
              <w:t>3</w:t>
            </w:r>
            <w:r>
              <w:rPr>
                <w:rFonts w:ascii="Arial" w:hAnsi="Arial" w:cs="Arial"/>
                <w:color w:val="000000"/>
                <w:sz w:val="21"/>
                <w:szCs w:val="21"/>
              </w:rPr>
              <w:t> đến 6.000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B549C"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130</w:t>
            </w:r>
          </w:p>
        </w:tc>
      </w:tr>
      <w:tr w:rsidR="00925476" w14:paraId="387120AB"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316A3"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84AAD"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6.000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59210"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w:t>
            </w:r>
          </w:p>
        </w:tc>
      </w:tr>
      <w:tr w:rsidR="00925476" w14:paraId="50277232"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FF0414"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C69CD"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ô tô chở người từ 10 đến dưới 16 chỗ, trừ loại quy định tại các Điểm 4đ, 4e và 4g của Biểu thuế quy định tại Điều này</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3C4F2"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r>
      <w:tr w:rsidR="00925476" w14:paraId="48FEFB0A"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4D2CA"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75512"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ô tô chở người từ 16 đến dưới 24 chỗ, trừ loại quy định tại các Điểm 4đ, 4e và 4g của Biểu thuế quy định tại Điều này</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7442B"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925476" w14:paraId="03FF7502"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18B2B"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4D6F9"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ô tô vừa chở người, vừa chở hàng, trừ loại quy định tại các Điểm 4đ, 4e và 4g</w:t>
            </w:r>
            <w:r>
              <w:rPr>
                <w:rStyle w:val="Strong"/>
                <w:rFonts w:ascii="Arial" w:hAnsi="Arial" w:cs="Arial"/>
                <w:color w:val="000000"/>
                <w:sz w:val="21"/>
                <w:szCs w:val="21"/>
              </w:rPr>
              <w:t> </w:t>
            </w:r>
            <w:r>
              <w:rPr>
                <w:rFonts w:ascii="Arial" w:hAnsi="Arial" w:cs="Arial"/>
                <w:color w:val="000000"/>
                <w:sz w:val="21"/>
                <w:szCs w:val="21"/>
              </w:rPr>
              <w:t>của Biểu thuế quy định tại Điều này</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7ED17" w14:textId="77777777" w:rsidR="00925476" w:rsidRDefault="00925476">
            <w:pPr>
              <w:pStyle w:val="NormalWeb"/>
              <w:spacing w:after="90" w:afterAutospacing="0" w:line="345" w:lineRule="atLeast"/>
              <w:jc w:val="center"/>
              <w:rPr>
                <w:rFonts w:ascii="Arial" w:hAnsi="Arial" w:cs="Arial"/>
                <w:color w:val="000000"/>
                <w:sz w:val="21"/>
                <w:szCs w:val="21"/>
              </w:rPr>
            </w:pPr>
          </w:p>
        </w:tc>
      </w:tr>
      <w:tr w:rsidR="00925476" w14:paraId="0B5E8D61"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8858B" w14:textId="77777777" w:rsidR="00925476" w:rsidRDefault="00925476">
            <w:pPr>
              <w:pStyle w:val="NormalWeb"/>
              <w:spacing w:after="90" w:afterAutospacing="0" w:line="345" w:lineRule="atLeast"/>
              <w:jc w:val="both"/>
              <w:rPr>
                <w:rFonts w:ascii="Arial" w:hAnsi="Arial" w:cs="Arial"/>
                <w:color w:val="000000"/>
                <w:sz w:val="21"/>
                <w:szCs w:val="21"/>
              </w:rPr>
            </w:pP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8320F"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từ 2.500 cm</w:t>
            </w:r>
            <w:r>
              <w:rPr>
                <w:rFonts w:ascii="Arial" w:hAnsi="Arial" w:cs="Arial"/>
                <w:color w:val="000000"/>
                <w:sz w:val="21"/>
                <w:szCs w:val="21"/>
                <w:vertAlign w:val="superscript"/>
              </w:rPr>
              <w:t>3</w:t>
            </w:r>
            <w:r>
              <w:rPr>
                <w:rFonts w:ascii="Arial" w:hAnsi="Arial" w:cs="Arial"/>
                <w:color w:val="000000"/>
                <w:sz w:val="21"/>
                <w:szCs w:val="21"/>
              </w:rPr>
              <w:t> trở xuống</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55605C"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r>
      <w:tr w:rsidR="00925476" w14:paraId="3FFF0049"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2818D"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0EAB7"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2.500 cm</w:t>
            </w:r>
            <w:r>
              <w:rPr>
                <w:rFonts w:ascii="Arial" w:hAnsi="Arial" w:cs="Arial"/>
                <w:color w:val="000000"/>
                <w:sz w:val="21"/>
                <w:szCs w:val="21"/>
                <w:vertAlign w:val="superscript"/>
              </w:rPr>
              <w:t>3</w:t>
            </w:r>
            <w:r>
              <w:rPr>
                <w:rFonts w:ascii="Arial" w:hAnsi="Arial" w:cs="Arial"/>
                <w:color w:val="000000"/>
                <w:sz w:val="21"/>
                <w:szCs w:val="21"/>
              </w:rPr>
              <w:t> đến 3.000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96F47"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r>
      <w:tr w:rsidR="00925476" w14:paraId="75712FE9"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AD659"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DE866"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dung tích xi lanh trên 3.000 cm</w:t>
            </w:r>
            <w:r>
              <w:rPr>
                <w:rFonts w:ascii="Arial" w:hAnsi="Arial" w:cs="Arial"/>
                <w:color w:val="000000"/>
                <w:sz w:val="21"/>
                <w:szCs w:val="21"/>
                <w:vertAlign w:val="superscript"/>
              </w:rPr>
              <w:t>3</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9899D"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r>
      <w:tr w:rsidR="00925476" w14:paraId="2C22162B"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802B8"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D1718"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 ô tô chạy bằng xăng kết hợp năng lượng điện, năng lượng sinh học, trong đó tỷ trọng xăng sử dụng không quá 70% số năng lượng sử dụng</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BF425"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Bằng 70% mức thuế suất áp dụng cho xe cùng loại quy định tại các Điểm 4a, 4b, 4c và 4d của Biểu thuế quy định tại Điều này</w:t>
            </w:r>
          </w:p>
        </w:tc>
      </w:tr>
      <w:tr w:rsidR="00925476" w14:paraId="5E36DE26"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94AA9"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20379"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ô tô chạy bằng năng lượng sinh học</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BF6C5"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Bằng 50% mức thuế suất áp dụng cho xe cùng loại quy định tại các Điểm 4a, 4b, 4c và 4d của Biểu thuế quy định tại Điều này</w:t>
            </w:r>
          </w:p>
        </w:tc>
      </w:tr>
      <w:tr w:rsidR="00925476" w14:paraId="02CF2C9A"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537EF"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6FCDC0"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Xe ô tô chạy bằng điện</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51765"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925476" w14:paraId="7A42E697"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EEB82E" w14:textId="77777777" w:rsidR="00925476" w:rsidRDefault="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1CAB4F"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chở người từ 9 chỗ trở xuống</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4C414"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r>
      <w:tr w:rsidR="00925476" w14:paraId="554A52F2"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518F3" w14:textId="77777777" w:rsidR="00925476" w:rsidRDefault="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B2A46"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chở người từ 10 đến dưới 16 chỗ</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18CFC"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925476" w14:paraId="1688A93B"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CFEFC" w14:textId="77777777" w:rsidR="00925476" w:rsidRDefault="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AEC0B2"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chở người từ 16 đến dưới 24 chỗ</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33A84"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925476" w14:paraId="468F2566"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0F6A8" w14:textId="77777777" w:rsidR="00925476" w:rsidRDefault="009254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9343AD"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thiết kế vừa chở người, vừa chở hàng</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829F9"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925476" w14:paraId="23BDEDBF"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9AA247"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507108"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Xe mô-tô-hôm (motorhome) không phân biệt dung tích xi lanh</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D27D5"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925476" w14:paraId="4250313D"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68A48"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3DA74"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7 năm 2016 đến hết ngày 31 tháng 12 năm 2017</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05601"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w:t>
            </w:r>
          </w:p>
        </w:tc>
      </w:tr>
      <w:tr w:rsidR="00925476" w14:paraId="52AC7850" w14:textId="77777777" w:rsidTr="00925476">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7DD8F0"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8389F" w14:textId="77777777" w:rsidR="00925476" w:rsidRDefault="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 tháng 01 năm 2018</w:t>
            </w:r>
          </w:p>
        </w:tc>
        <w:tc>
          <w:tcPr>
            <w:tcW w:w="21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0DF89" w14:textId="77777777" w:rsidR="00925476" w:rsidRDefault="009254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r>
    </w:tbl>
    <w:p w14:paraId="3D908455"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6C31809A"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quản lý thuế số </w:t>
      </w:r>
      <w:hyperlink r:id="rId8" w:history="1">
        <w:r>
          <w:rPr>
            <w:rStyle w:val="Hyperlink"/>
            <w:rFonts w:ascii="Arial" w:hAnsi="Arial" w:cs="Arial"/>
            <w:color w:val="135ECD"/>
            <w:sz w:val="21"/>
            <w:szCs w:val="21"/>
          </w:rPr>
          <w:t>78/2006/QH11 </w:t>
        </w:r>
      </w:hyperlink>
      <w:r>
        <w:rPr>
          <w:rFonts w:ascii="Arial" w:hAnsi="Arial" w:cs="Arial"/>
          <w:color w:val="000000"/>
          <w:sz w:val="21"/>
          <w:szCs w:val="21"/>
        </w:rPr>
        <w:t>đã được sửa đổi, bổ sung một số Điều theo Luật số 21/2012/QH13 và Luật số 71/2014/QH13:</w:t>
      </w:r>
    </w:p>
    <w:p w14:paraId="421F77FA"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61 được sửa đổi, bổ sung như sau:</w:t>
      </w:r>
    </w:p>
    <w:p w14:paraId="4C4A782D"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Miễn thuế, giảm thuế</w:t>
      </w:r>
    </w:p>
    <w:p w14:paraId="5FF145B1"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thực hiện miễn thuế, giảm thuế đối với các trường hợp thuộc diện miễn thuế, giảm thuế được quy định tại các văn bản pháp luật về thuế và miễn thuế đối với hộ gia đình, cá nhân có số thuế sử dụng đất phi nông nghiệp phải nộp hằng năm từ năm mươi nghìn đồng trở xuống.”</w:t>
      </w:r>
    </w:p>
    <w:p w14:paraId="460B6DFE"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4 Điều 92 được sửa đổi, bổ sung như sau:</w:t>
      </w:r>
    </w:p>
    <w:p w14:paraId="3F87892F"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thực hiện biện pháp cưỡng chế thuế đối với trường hợp người nộp thuế được cơ quan quản lý thuế cho phép nộp dần tiền nợ thuế trong thời hạn không quá mười hai tháng, kể từ ngày bắt đầu của thời hạn cưỡng chế thuế. Việc nộp dần tiền nợ thuế được xem xét trên cơ sở đề nghị của người nộp thuế và phải có bảo lãnh của tổ chức tín dụng. Người nộp thuế phải nộp tiền chậm nộp theo mức 0,03%/ngày tính trên số tiền thuế chậm nộp.”</w:t>
      </w:r>
    </w:p>
    <w:p w14:paraId="4DA696BB"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1 Điều 106 được sửa đổi, bổ sung như sau:</w:t>
      </w:r>
    </w:p>
    <w:p w14:paraId="0AF168CA"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chậm nộp tiền thuế so với thời hạn quy định, thời hạn gia hạn nộp thuế, thời hạn ghi trong thông báo của cơ quan quản lý thuế, thời hạn trong quyết định xử lý của cơ quan quản lý thuế thì phải nộp đủ tiền thuế và tiền chậm nộp theo mức bằng 0,03%/ngày tính trên số tiền thuế chậm nộp.</w:t>
      </w:r>
    </w:p>
    <w:p w14:paraId="6A4DD397"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Khoản nợ tiền thuế phát sinh trước ngày 01 tháng 7 năm 2016 mà người nộp thuế chưa nộp vào ngân sách nhà nước, kể cả Khoản tiền nợ thuế được truy thu qua kết quả thanh tra, kiểm tra của cơ quan có thẩm quyền thì được chuyển sang áp dụng mức tính tiền chậm nộp theo quy định tại Khoản này từ ngày 01 tháng 7 năm 2016.</w:t>
      </w:r>
    </w:p>
    <w:p w14:paraId="46BB2943"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cung ứng hàng hoá, dịch vụ được thanh toán bằng nguồn vốn ngân sách nhà nước nhưng chưa được thanh toán nên không nộp kịp thời các Khoản thuế dẫn đến nợ thuế thì không phải nộp tiền chậm nộp tính trên số tiền thuế còn nợ nhưng không vượt quá số tiền ngân sách nhà nước chưa thanh toán phát sinh trong thời gian ngân sách nhà nước chưa thanh toán.”</w:t>
      </w:r>
    </w:p>
    <w:p w14:paraId="152ACE47"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Bãi bỏ khoản 3 Điều 42.</w:t>
      </w:r>
    </w:p>
    <w:p w14:paraId="26383297"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54F9988E"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2016, trừ quy định tại khoản 2 Điều này.</w:t>
      </w:r>
    </w:p>
    <w:p w14:paraId="065E674A"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Khoản 4 Điều 3 của Luật này có hiệu lực thi hành từ ngày 01 tháng 9 năm 2016.</w:t>
      </w:r>
    </w:p>
    <w:p w14:paraId="6EAD4457"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Điều, Khoản được giao trong Luật.</w:t>
      </w:r>
    </w:p>
    <w:p w14:paraId="0823C23B" w14:textId="77777777" w:rsidR="00925476" w:rsidRDefault="00925476" w:rsidP="009254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khoá XIII, kỳ họp thứ 11 thông qua ngày 06 tháng 4 năm 2016.</w:t>
      </w:r>
    </w:p>
    <w:p w14:paraId="5EDF1864" w14:textId="77777777" w:rsidR="00925476" w:rsidRDefault="00925476" w:rsidP="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p>
    <w:p w14:paraId="2FB78EB1" w14:textId="77777777" w:rsidR="00925476" w:rsidRDefault="00925476" w:rsidP="00925476">
      <w:pPr>
        <w:pStyle w:val="NormalWeb"/>
        <w:spacing w:after="90" w:afterAutospacing="0" w:line="345" w:lineRule="atLeast"/>
        <w:jc w:val="center"/>
        <w:rPr>
          <w:rFonts w:ascii="Arial" w:hAnsi="Arial" w:cs="Arial"/>
          <w:color w:val="000000"/>
          <w:sz w:val="21"/>
          <w:szCs w:val="21"/>
        </w:rPr>
      </w:pPr>
    </w:p>
    <w:p w14:paraId="2FE9F864" w14:textId="77777777" w:rsidR="00925476" w:rsidRDefault="00925476" w:rsidP="009254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Thị Kim Ngân</w:t>
      </w:r>
    </w:p>
    <w:p w14:paraId="29E29492" w14:textId="05D6EAAD" w:rsidR="008100A5" w:rsidRPr="00925476" w:rsidRDefault="008100A5" w:rsidP="00925476"/>
    <w:sectPr w:rsidR="008100A5" w:rsidRPr="00925476"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6796E" w14:textId="77777777" w:rsidR="003C36A0" w:rsidRDefault="003C36A0">
      <w:r>
        <w:separator/>
      </w:r>
    </w:p>
  </w:endnote>
  <w:endnote w:type="continuationSeparator" w:id="0">
    <w:p w14:paraId="5C03FB34" w14:textId="77777777" w:rsidR="003C36A0" w:rsidRDefault="003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42322" w14:textId="77777777" w:rsidR="003C36A0" w:rsidRDefault="003C36A0">
      <w:r>
        <w:separator/>
      </w:r>
    </w:p>
  </w:footnote>
  <w:footnote w:type="continuationSeparator" w:id="0">
    <w:p w14:paraId="71ABDF57" w14:textId="77777777" w:rsidR="003C36A0" w:rsidRDefault="003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C36A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5E51"/>
    <w:rsid w:val="003C0299"/>
    <w:rsid w:val="003C36A0"/>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an-ly-thue-so-78-2006-qh11.aspx" TargetMode="External"/><Relationship Id="rId3" Type="http://schemas.openxmlformats.org/officeDocument/2006/relationships/webSettings" Target="webSettings.xml"/><Relationship Id="rId7" Type="http://schemas.openxmlformats.org/officeDocument/2006/relationships/hyperlink" Target="https://admin.luatminhkhue.vn/van-ban/luat-thue-gia-tri-gia-tang-nam-2008.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2013.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6</Pages>
  <Words>1599</Words>
  <Characters>9116</Characters>
  <Application>Microsoft Office Word</Application>
  <DocSecurity>0</DocSecurity>
  <Lines>75</Lines>
  <Paragraphs>21</Paragraphs>
  <ScaleCrop>false</ScaleCrop>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178</cp:revision>
  <dcterms:created xsi:type="dcterms:W3CDTF">2024-12-02T03:13:00Z</dcterms:created>
  <dcterms:modified xsi:type="dcterms:W3CDTF">2024-12-20T01:58:00Z</dcterms:modified>
</cp:coreProperties>
</file>