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113/2007/TT-BTC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24 tháng 09 năm 2007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SỬAĐỔI BỔ SUNG THÔNG TƯ SỐ </w:t>
      </w:r>
      <w:hyperlink r:id="rId4" w:history="1">
        <w:r>
          <w:rPr>
            <w:rStyle w:val="Hyperlink"/>
          </w:rPr>
          <w:t xml:space="preserve">71/2006/TT-BTC </w:t>
        </w:r>
      </w:hyperlink>
      <w:r>
        <w:t xml:space="preserve"> NGÀY 09/08/2006 CỦA BỘ TÀI CHÍNH HƯỚNGDẪN THỰC HIỆN NGHỊ ĐỊNH SỐ 43/2006/NĐ-CP NGÀY 25/04/2006 CỦA CHÍNH PHỦ QUY ĐỊNHQUYỀN TỰ CHỦ, TỰ CHỊU TRÁCH NHIỆM VỀ THỰC HIỆN NHIỆM VỤ TỔ CHỨC BỘ MÁY, BIÊNCHẾ VÀ TÀI CHÍNH ĐỐI VỚI ĐƠN VỊ SỰ NGHIỆP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60/2003/NĐ-CP </w:t>
        </w:r>
      </w:hyperlink>
      <w:r>
        <w:rPr>
          <w:i/>
        </w:rPr>
        <w:t xml:space="preserve"> ngày 06/06/2003 của Chính phủ quy định chi tiết và hướng dẫn thi hành Luật Ngânsách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phù hợp với tình hình thực tế,Bộ Tài chính hướng dẫn sửa đổi, bổ sung một số nội dung quy định tại Thông tưsố 71/2006/TT-BTC ngày 09/08/2006 hướng dẫn thực hiện Nghị định số 43/2006/NĐ-CPngày 25/04/2006 của Chính phủ quy định quyền tự chủ, tự chịu trách nhiệm vềthực hiện nhiệm vụ, tổ chức bộ máy, biên chế và tài chính đối với đơn vị sựnghiệp công lập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Sửa đổi khoản 6 mục VIII Thôngtư số 71/2006/TT-BTC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chi đối với khoảnthu nhập tăng thêm: Căn cứ kết quả hoạt động tài chính quý, năm của đơn vị,nhằm động viên kịp thời người lao động phấn đấu hoàn thành nhiệm vụ được giao,Thủ trưởng đơn vị sự nghiệp thực hiện chi đối với khoản thu nhập tăng thêm hàngqúy tối đa không quá 60% số chênh lệnh thu lớn hơn chi đơn vị xác định đượctheo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thúc năm, trước ngày 31/01 nămsau, đơn vị sự nghiệp thực hiện chế độ tự chủ, tự chịu trách nhiệm về tài chínhtự xác định số chênh lệch thu lớn hơn chi và kinh phí chi thu nhập tăng thêmcủa năm trước theo quy chế chi tiêu nội bộ của đơn vị để thanh toán thu nhậptăng thêm cho người lao động đảm bảo không vượt quá mức theo chế độ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quyết toán của đơn vị đượccấp có thẩm quyền phê duyệt: Trường hợp số chênh lệch thu lớn hơn chi thực tếcao hơn số đơn vị tự xác định và kinh phí chi thu nhập tăng thêm (theo chế độquy định) cao hơn số kinh phí đã chi trả thu nhập tăng thêm cho người lao động,đơn vị được tiếp tục chi trả thu nhập tăng thêm theo chế độ quy định. Trườnghợp số chênh lệch thu lớn hơn chi thực tế thấp hơn số đơn vị tự xác định vàkinh phí đã thanh toán thu nhập tăng thêm cho người lao động lớn hơn số kinhphí được chi trả thu nhập tăng thêm (theo chế độ quy định) thì số chi vượt đơnvị phải sử dụng Quỹ dự phòng ổn định thu nhập (nếu có) để bù đắp, trường hợpsau khi dùng Quỹ dự phòng ổn định thu nhập để bù đắp vẫn còn thiếu hụt thì trừvào chênh lệch thu, chi dành chi trả thu nhập tăng thêm của năm sau; trường hợpnăm sau không có chênh lệch thu lớn hơn chi chi, thì trừ vào Quỹ tiền lương củađơn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Sửa đổi khoản 5 mục IX Thông tưsố 71/2006/TT-BTC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chi đối với khoảnthu nhập tăng thêm: Căn cứ kết quả hoạt động tài chính quý, năm của đơn vị,nhằm động viên kịp thời người lao động phấn đấu hoàn thành nhiệm vụ được giao,Thủ trưởng đơn vị sự nghiệp thực hiện chi đối với khoản thu nhập tăng thêm hàngqúy tối đa không quá 60% số chênh lệnh thu lớn hơn chi đơn vị xác định đượctheo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thúc năm, trước ngày 31/01 nămsau, đơn vị sự nghiệp thực hiện chế độ tự chủ, tự chịu trách nhiệm về tài chínhtự xác định số chênh lệch thu lớn hơn chi và kinh phí chi thu nhập tăng thêmcủa năm trước theo quy chế chi tiêu nội bộ của đơn vị để thanh toán thu nhậptăng thêm cho người lao động đảm bảo không vượt quá mức theo chế độ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quyết toán của đơn vị đượccấp có thẩm quyền phê duyệt: Trường hợp số chênh lệch thu lớn hơn chi thực tếcao hơn số đơn vị tự xác định và kinh phí chi trả thu nhập tăng thêm (theo</w:t>
      </w:r>
      <w:r>
        <w:t xml:space="preserve"> chế độ quy định)cao hơn số kinh phí đã chi trả thu nhập tăng thêm cho người lao động, đơn vịđược tiếp tục chi trả thu nhập tăng thêm cho người lao động theo chế độ quyđịnh. Trường hợp số chênh lệch thu lớn hơn chi thực tế thấp hơn số đơn vị tựxác định và kinh phí đã thanh toán thu nhập tăng thêm cho người lao động lớnhơn số kinh phí được chi trả thu nhập tăng thêm (theo chế độ quy định) thì sốchi vượt đơn vị phải sử dụng Quỹ dự phòng ổn định thu nhập (nếu có) để bù đắp,trường hợp sau khi dùng Quỹ dự phòng ổn định thu nhập để bù đắp vẫn còn thiếuhụt thì trừ vào chênh lệch thu lớn hơn chi phần dành chi trả thu nhập tăng thêmcủa năm sau; trường hợp năm sau không có chênh lệch thu lớn hơn chi, thì trừvào Quỹ tiền lương của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Sửa đổi phụlục số 06 kèm theo Thông tư số 71/2006/TT- BTC: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phụ lục đínhkèm).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Tổ chức thựchiện: </w:t>
      </w:r>
      <w:r>
        <w:t xml:space="preserve">Thông tư này có hiệu lực thi hành sau 15 ngày kể từ ngày đăng Côngbáo. Những quy định khác tại Thông tư số 71/2006/TT-BTC ngày 09/08/2006 của BộTài chính hướng dẫn thực hiện Nghị định số 43/2006/NĐ-CP ngày 25/04/2006 củaChính phủ quy định quyền tự chủ, tự chịu trách nhiệm về thực hiện nhiệm vụ, tổchức bộ máy, biên chế và tài chính đối với đơn vị sự nghiệp công lập vẫn cònhiệu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vướngmắc, đề nghị các đơn vị phản ánh về Bộ Tài chính để kịp thời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Nơi nhận</w:t>
            </w:r>
            <w:r>
              <w:rPr>
                <w:i/>
              </w:rPr>
              <w:t xml:space="preserve">:</w:t>
            </w:r>
            <w:r>
              <w:t xml:space="preserve">- VP Quốc hội;</w:t>
            </w:r>
            <w:r>
              <w:t xml:space="preserve">- VP Chủ tịch nước; </w:t>
            </w:r>
            <w:r>
              <w:t xml:space="preserve">- VP Chính phủ;</w:t>
            </w:r>
            <w:r>
              <w:t xml:space="preserve">- VP TW Đảng và các Ban của Đảng;</w:t>
            </w:r>
            <w:r>
              <w:t xml:space="preserve">- Toà án nhân dân tối cao;</w:t>
            </w:r>
            <w:r>
              <w:t xml:space="preserve">- Viện Kiểm sát nhân dân tối cao;</w:t>
            </w:r>
            <w:r>
              <w:t xml:space="preserve">- Kiểm toán Nhà nước;</w:t>
            </w:r>
            <w:r>
              <w:t xml:space="preserve">- Các Bộ, cơ quan ngang Bộ, cơ quan thuộc CP;</w:t>
            </w:r>
            <w:r>
              <w:t xml:space="preserve">- Cơ quan TW của các Hội, đoàn thể;</w:t>
            </w:r>
            <w:r>
              <w:t xml:space="preserve">- UBND các tỉnh, TP trực thuộc TW;</w:t>
            </w:r>
            <w:r>
              <w:t xml:space="preserve">- Sở TC, KBNN, Cục Thuế các tỉnh, TP trực thuộc TW;</w:t>
            </w:r>
            <w:r>
              <w:t xml:space="preserve">- Sở Nội vụ các tỉnh, TP trực thuộc TW;</w:t>
            </w:r>
            <w:r>
              <w:t xml:space="preserve">- Cục kiểm tra văn bản - Bộ Tư pháp;</w:t>
            </w:r>
            <w:r>
              <w:t xml:space="preserve">- Công báo;</w:t>
            </w:r>
            <w:r>
              <w:t xml:space="preserve">- Website Chính phủ; Website Bộ Tài chính;</w:t>
            </w:r>
            <w:r>
              <w:t xml:space="preserve">- Lưu : VT, Vụ HCSN.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r/>
            </w:r>
            <w:r>
              <w:t xml:space="preserve"> </w:t>
            </w:r>
            <w:r>
              <w:rPr>
                <w:b/>
              </w:rPr>
              <w:t xml:space="preserve">THỨ TRƯỞNG</w:t>
            </w:r>
            <w:r>
              <w:rPr/>
              <w:br/>
            </w:r>
            <w: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Đỗ Hoàng Anh Tuấn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Phụ lục số 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ĐƠN VỊ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HỘICHỦ NGHĨA VIỆT NAM</w:t>
      </w:r>
      <w:r>
        <w:rPr/>
        <w:br/>
      </w:r>
      <w:r>
        <w:rPr>
          <w:b/>
        </w:rPr>
        <w:t xml:space="preserve">Độc lập - Tự do - Hạnhphúc</w:t>
      </w:r>
      <w:r>
        <w:rPr>
          <w:b/>
        </w:rPr>
        <w:br/>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TÌNHHÌNH VÀ KẾT QUẢ THỰC HIỆN QUYỀN TỰ CHỦ, TỰ CHỊU TRÁCH NHIỆM VỀ TÀI CHÍNH THEONGHỊ ĐỊNH SỐ </w:t>
      </w:r>
      <w:hyperlink r:id="rId6" w:history="1">
        <w:r>
          <w:rPr>
            <w:rStyle w:val="Hyperlink"/>
            <w:b/>
          </w:rPr>
          <w:t xml:space="preserve">43/2006/NĐ-CP </w:t>
        </w:r>
      </w:hyperlink>
      <w:r>
        <w:rPr>
          <w:b/>
        </w:rPr>
        <w:t xml:space="preserve"> NGÀY 25/4/2006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(Dùng cho: Cácđơn vị dự toán cấp II báo cáo đơn vị dự toán cấp I, đơn vị dự toán cấp I báocáo cơ quan Tài chính cùng cấp, các địa phương báo cáo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Về tình hình triển khai thực hiện Nghịđịnh số 43/2006/NĐ-CP ngày 25/4/2006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phổ biến, tập huấn nội dungNghị định số 43/2006/NĐ-CP và các văn bản liên quan; nội dung và kế hoạchtriển khai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Tình hình thực hiện giao quyền tự chủ,tự chịu trách nhiệm đối với đơn vị sự nghiệp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số đơn vị sự nghệp công lập;trong đó: số đơn vị sự nghiệp giáo dục đào tạo; Y tế; Văn hóa Thông tin, Thểdục thể thao; Sự nghiệp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số đơn vị đã giao tự chủ tự chịutrách nhiệm theo Nghị định số 43/2006/NĐ- 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loại: (1) Đơn vị tự bảo đảm toànbộ chi phí hoạt động; (2) Đơn vị tự bảo đảm một phần chi phí hoạt động; (3) Đơnvị do NSNN bảo đảm toàn bộ chi phí hoạt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(1) Kinh phí tự chủ (đối vớiđơn vị tự bảo đảm toàn bộ chi phí hoạt động); (2) Kinh phí NSNN cấp thực hiệntự chủ (đối với đơn vị tự bảo đảm một phần chi phí hoạt động và đơn vị do NSNNbảo đảm toàn bộ chi phí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(Chi tiết theo biểu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Tình hình xây dựng và thực hiện cáctiêu chí đánh giá và mức độ hoàn thành nhiệm vụ được giao đối với các đơn vị sựnghiệp thuộc phạm 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Tình hình phân cấp về quyền tự chủ, tựchịu trách nhiệm về nhiệm vụ, tổ chức bộ máy, biên chế đối với các đơn vị sựnghiệp thuộc phạm 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Tình hình ban hành các tiêu chuẩn,định mức chi, định mức kinh tế kỹ thuật thuộc phạm vi quản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Kết quả thực hiện giao quyền tự chủ,tư chịu trách nhiệm đối với đơn vị sự nghiệp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Tình hình xây dựng quy chế chi tiêunội bộ của các đơn vị sự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các đơn vị đã xây dựng quy chế chitiêu nội bộ ...../Tổng số đơn vị được giao quyền tự chủ (đạt tỷ lệ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giải pháp thực hiện quy chế chitiêu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Tình hình huy động vốn: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đơn vị có huy động vốn để sử dụnghoạt động dịch vụ .... đơn vị/ so với tổng số đơn vị được giao tự chủ;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vốn huy động được... triệu đồng(trong đó: huy động của cán bộ công nhân viên.... triệu đồng), vay vốn của cáctổ chức tín dụng....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có số vốn huy động cao nhất ....triệu đồng, mục đích huy động (tên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có vốn huy động thấp nhất ...triệu đồng (tên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giải pháp huy động vốn.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Tình hình thực hành tiết kiệm chi vàtăng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Tiết kiệm kinh phí hoạt động thườngxuyên: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đơn vị tiết kiệm ...../ so với tổngsố đơn vị giao tự chủ (đạt tỷ lệ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kinh phí tiết kiệm được..... triệuđồng; tỷ lệ kinh phí tiết kiệm được so với dự toán được giao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có số kinh phí tiết kiệm caonhất .... triệu đồng (tên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có số kinh phí tiết kiệm thấpnhất.... triệu đồng (tên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tăng thu .... triệu đồng, so với nămtrước tăng ... triệu đồng (tăng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có số tăng thu cao nhất .....triệu đồng (tên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có số thu thấp nhất .... triệudồng (tên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giải pháp tăng thu, tiết kiệm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Tình hình bố trí, sắp xếp bộ máy, tinhgiản biên chế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Tình hình thu nhập tăng thêm người laođộng: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đơn vị có hệ số thu nhập tăng thêmdưới 1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đơn vị có hệ số thu nhập tăng thêmtừ trên 1 đến 2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đơn vị có hệ số thu nhập tăng thêmtừ trên 2 đến 3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đơn vị có hệ số thu nhập tăng thêmtừ trên 3 lần trở lên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có người có thu nhập tăng thêm caonhất là ....đ/tháng (tên đơn vị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có người có thu nhập tăng thêmthấp nhất là . . . đ/tháng (tên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Những khó khăn, tồn tại, kiến nghị: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Người lập báo cáo </w:t>
            </w:r>
            <w:r>
              <w:rPr/>
              <w:br/>
            </w:r>
            <w:r>
              <w:t xml:space="preserve"> </w:t>
            </w:r>
            <w:r>
              <w:rPr>
                <w:i/>
              </w:rPr>
              <w:t xml:space="preserve">(Ký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 . . tháng . . . năm. .</w:t>
            </w:r>
            <w:r>
              <w:rPr>
                <w:i/>
              </w:rPr>
              <w:br/>
            </w:r>
            <w:r>
              <w:rPr>
                <w:i/>
              </w:rPr>
              <w:t xml:space="preserve"> </w:t>
            </w:r>
            <w:r>
              <w:rPr>
                <w:b/>
              </w:rPr>
              <w:t xml:space="preserve">THỦ TRƯỞNG ĐƠN VỊ</w:t>
            </w:r>
            <w:r>
              <w:rPr>
                <w:b/>
              </w:rPr>
              <w:br/>
            </w:r>
            <w:r>
              <w:rPr>
                <w:b/>
              </w:rPr>
              <w:t xml:space="preserve"> </w:t>
            </w:r>
            <w:r>
              <w:rPr>
                <w:i/>
              </w:rPr>
              <w:t xml:space="preserve">(Ký tên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Biều kèm theophụ lục số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Cơ quan chủ quản: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 Tháng…….. Năm 200….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TỔNG HỢP TÌNH HÌNH THỰC HIỆNNGHỊ ĐỊNH 43/2006/NĐ-CP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CÁC ĐƠN VỊ SỰ NGHIỆP CÓ THU NĂM200……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đơn vị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đơn vị sự nghiệp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giao ổn định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sự nghiệp</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thu nhập tăng thêm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Dưới 1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 đến dưới 2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2 đến dưới 3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3 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tự đảm bảo toàn bộ chi phí hoạt động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tự đảm bảo một phần chi phí hoạt động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sự nghiệp kinh phí hoạt động do ngân sách nhà nước bảo đảm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 dự toán cấp I</w:t>
            </w:r>
            <w:r>
              <w:rPr/>
              <w:br/>
            </w:r>
            <w:r>
              <w:t xml:space="preserve"> </w:t>
            </w:r>
            <w:r>
              <w:rPr>
                <w:i/>
              </w:rPr>
              <w:t xml:space="preserve">(Ký tên,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TỔNG HỢPKẾT QỦA THỰC HIỆN NGHỊ ĐỊNH 43/2006/NĐ-CP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CÁC ĐƠN VỊSỰ NGHIỆP NĂM 200……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lao động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tiền lương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kinh phí trong năm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15"/>
            <w:hMerge/>
            <w:shd w:val="clear" w:color="auto" w:fill="auto"/>
            <w:vAlign w:val="center"/>
          </w:tcPr>
          <w:p>
            <w:pPr/>
          </w:p>
        </w:tc>
        <w:tc>
          <w:tcPr>
            <w:tcW w:w="0" w:type="auto"/>
            <w:gridSpan w:val="15"/>
            <w:hMerge/>
            <w:shd w:val="clear" w:color="auto" w:fill="auto"/>
            <w:vAlign w:val="center"/>
          </w:tcPr>
          <w:p>
            <w:pPr/>
          </w:p>
        </w:tc>
        <w:tc>
          <w:tcPr>
            <w:tcW w:w="0" w:type="auto"/>
            <w:gridSpan w:val="15"/>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thu nhập tăng thêm</w:t>
            </w:r>
          </w:p>
        </w:tc>
        <w:tc>
          <w:tcPr>
            <w:tcW w:w="0" w:type="auto"/>
            <w:gridSpan w:val="15"/>
            <w:hMerge/>
            <w:shd w:val="clear" w:color="auto" w:fill="auto"/>
            <w:vAlign w:val="center"/>
          </w:tcPr>
          <w:p>
            <w:pPr/>
          </w:p>
        </w:tc>
        <w:tc>
          <w:tcPr>
            <w:tcW w:w="0" w:type="auto"/>
            <w:gridSpan w:val="15"/>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Trích lập Quỹ*</w:t>
            </w:r>
          </w:p>
        </w:tc>
        <w:tc>
          <w:tcPr>
            <w:tcW w:w="0" w:type="auto"/>
            <w:gridSpan w:val="1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Lao động hợp đồng (trên 1 năm)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cấp bậc chức vụ trong năm</w:t>
            </w: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sự nghiệp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1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thêm</w:t>
            </w:r>
          </w:p>
        </w:tc>
        <w:tc>
          <w:tcPr>
            <w:tcW w:w="0" w:type="auto"/>
            <w:gridSpan w:val="15"/>
            <w:hMerge/>
            <w:shd w:val="clear" w:color="auto" w:fill="auto"/>
            <w:vAlign w:val="center"/>
          </w:tcPr>
          <w:p>
            <w:pPr/>
          </w:p>
        </w:tc>
        <w:tc>
          <w:tcPr>
            <w:tcW w:w="0" w:type="auto"/>
            <w:gridSpan w:val="15"/>
            <w:hMerge w:val="restart"/>
            <w:vMerge/>
            <w:shd w:val="clear" w:color="auto" w:fill="auto"/>
            <w:vAlign w:val="center"/>
          </w:tcPr>
          <w:p>
            <w:pPr/>
          </w:p>
        </w:tc>
        <w:tc>
          <w:tcPr>
            <w:tcW w:w="0" w:type="auto"/>
            <w:gridSpan w:val="15"/>
            <w:hMerge/>
            <w:vMerge/>
            <w:shd w:val="clear" w:color="auto" w:fill="auto"/>
            <w:vAlign w:val="center"/>
          </w:tcPr>
          <w:p>
            <w:pPr/>
          </w:p>
        </w:tc>
        <w:tc>
          <w:tcPr>
            <w:tcW w:w="0" w:type="auto"/>
            <w:gridSpan w:val="15"/>
            <w:hMerge w:val="restart"/>
            <w:vMerge/>
            <w:shd w:val="clear" w:color="auto" w:fill="auto"/>
            <w:vAlign w:val="center"/>
          </w:tcPr>
          <w:p>
            <w:pPr/>
          </w:p>
        </w:tc>
        <w:tc>
          <w:tcPr>
            <w:tcW w:w="0" w:type="auto"/>
            <w:gridSpan w:val="15"/>
            <w:hMerge/>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 cấp trong năm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số</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phí, lệ phí</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dịch vụ</w:t>
            </w:r>
          </w:p>
        </w:tc>
        <w:tc>
          <w:tcPr>
            <w:tcW w:w="0" w:type="auto"/>
            <w:hMerge/>
            <w:shd w:val="clear" w:color="auto" w:fill="auto"/>
            <w:vAlign w:val="center"/>
          </w:tcPr>
          <w:p>
            <w:pPr/>
          </w:p>
        </w:tc>
        <w:tc>
          <w:tcPr>
            <w:tcW w:w="0" w:type="auto"/>
            <w:gridSpan w:val="1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khác</w:t>
            </w:r>
          </w:p>
        </w:tc>
        <w:tc>
          <w:tcPr>
            <w:tcW w:w="0" w:type="auto"/>
            <w:gridSpan w:val="15"/>
            <w:hMerge/>
            <w:shd w:val="clear" w:color="auto" w:fill="auto"/>
            <w:vAlign w:val="center"/>
          </w:tcPr>
          <w:p>
            <w:pPr/>
          </w:p>
        </w:tc>
        <w:tc>
          <w:tcPr>
            <w:tcW w:w="0" w:type="auto"/>
            <w:gridSpan w:val="15"/>
            <w:hMerge w:val="restart"/>
            <w:vMerge/>
            <w:shd w:val="clear" w:color="auto" w:fill="auto"/>
            <w:vAlign w:val="center"/>
          </w:tcPr>
          <w:p>
            <w:pPr/>
          </w:p>
        </w:tc>
        <w:tc>
          <w:tcPr>
            <w:tcW w:w="0" w:type="auto"/>
            <w:gridSpan w:val="15"/>
            <w:hMerge/>
            <w:vMerge/>
            <w:shd w:val="clear" w:color="auto" w:fill="auto"/>
            <w:vAlign w:val="center"/>
          </w:tcPr>
          <w:p>
            <w:pP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PTSN</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KT, PL</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 năm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 trong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 năm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 trong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 năm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 trong năm</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 năm trước</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 trong năm</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 năm trước</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 trong năm</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PTSN</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KT,PL</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5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10=12 +14+16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11=13+ 15+17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1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tự đảm bảo toàn bộ chi phí hoạt động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giáo dục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văn hóa thông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 nghiệp kinh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tự đảm bảo một phần chi phí hoạt động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giáo dục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văn hóa thông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 nghiệp kinh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sự nghiệp kinh phí hoạt động do ngân sách nhà nước bảo đảm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giáo dục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văn hóa thông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 nghiệp kinh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khác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c>
          <w:tcPr>
            <w:tcW w:w="0" w:type="auto"/>
            <w:h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Trích lập quỹ PTSN, Quỹ phúc lợi: đốivới đơn vị sự nghiệp tự bảo đảm toàn bộ chi phí và đơn vị tự bảo đảm một phầnchi phí; Chi đầu tư cơ sở vật chất, chi KT, PL đối với đơn vị NSNN bảo đẩm toànbộ C. phí đối với đơn vị NSNN bảo đảm toàn bộ chi phí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TỔNG HỢPTHỰC HIỆN GIAO QUYỀN TỰ CHỦ THEO NGHỊ ĐỊNH SỐ 10, NGHỊ ĐỊNH SỐ 43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(Số liệuthống kê đến 5/2007)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Sự nghiệp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giao quyền tự chủ tài chính</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tự đảm bảo chi phí TX</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tự bảo đảm một phần chi phí</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tự bảo đảm toàn bộ chi phí</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Số</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 tế</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VHTT</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Số</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 tế</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VHTT</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Số</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NC</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 tế</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VHTT</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Giáo dục và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Lao động TB và 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Ngoại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nguyên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Giao Thông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Thuỷ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PT 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Khoa học và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Bưu chính Viễn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 Dân tộc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 Thể dục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Văn hoá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kế hoạch và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Đài Truyền hình 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Đài Tiếng nói 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tấn xã 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 Quốc gia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 QG HCM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NDVN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 Đoàn TNCSHCM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QH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Minh các HTXVN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TCDLCL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 dân số GĐ 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Khoa học và CN 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khoa học xã hội 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Tôn giáo 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toán 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LHPN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Biểu kèm theophụ lục số 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TỔNG HỢPTÌNH HINH THỰC HIỆN NGHỊ ĐỊNH 43/2006/NĐ-CP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CÁC ĐƠN VỊSỰ NGHIỆP NĂM 200……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đơn vị sự nghiệp công lập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sự nghiệp thuộc đối tượng giao tự chủ</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đơn vị đã thực hiện giao tự chủ theo NĐ số 43/2006/NĐ- CP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10"/>
            <w:hMerge/>
            <w:shd w:val="clear" w:color="auto" w:fill="auto"/>
            <w:vAlign w:val="center"/>
          </w:tcPr>
          <w:p>
            <w:pPr/>
          </w:p>
        </w:tc>
        <w:tc>
          <w:tcPr>
            <w:tcW w:w="0" w:type="auto"/>
            <w:gridSpan w:val="10"/>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10"/>
            <w:hMerge/>
            <w:shd w:val="clear" w:color="auto" w:fill="auto"/>
            <w:vAlign w:val="center"/>
          </w:tcPr>
          <w:p>
            <w:pPr/>
          </w:p>
        </w:tc>
        <w:tc>
          <w:tcPr>
            <w:tcW w:w="0" w:type="auto"/>
            <w:gridSpan w:val="10"/>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tự bảo đảm toàn bộ chi phí hoạt động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tự bảo đảm một phần CP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10"/>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NSNN cấp toàn bộ chi phí</w:t>
            </w:r>
          </w:p>
        </w:tc>
        <w:tc>
          <w:tcPr>
            <w:tcW w:w="0" w:type="auto"/>
            <w:gridSpan w:val="10"/>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đơn vị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tự chủ</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NS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(tr.đồng)</w:t>
            </w:r>
          </w:p>
        </w:tc>
        <w:tc>
          <w:tcPr>
            <w:tcW w:w="0" w:type="auto"/>
            <w:gridSpan w:val="10"/>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đơn vị</w:t>
            </w:r>
          </w:p>
        </w:tc>
        <w:tc>
          <w:tcPr>
            <w:tcW w:w="0" w:type="auto"/>
            <w:gridSpan w:val="10"/>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NS cấp giao tự chủ (tr.đồng)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tự chủ</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10"/>
            <w:vMerge/>
            <w:shd w:val="clear" w:color="auto" w:fill="auto"/>
            <w:vAlign w:val="center"/>
          </w:tcPr>
          <w:p>
            <w:pPr/>
          </w:p>
        </w:tc>
        <w:tc>
          <w:tcPr>
            <w:tcW w:w="0" w:type="auto"/>
            <w:gridSpan w:val="10"/>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tự đảm bảo toàn bộ chi phí hoạt động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giáo dục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văn hóa thông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 nghiệp kinh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tự đảm bảo một phần chi phí hoạt động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giáo dục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văn hóa thông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 nghiệp kinh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sự nghiệp kinh phí hoạt động do NSNN bảo đảm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giáo dục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văn hóa thông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 nghiệp kinh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khác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cơ quan chủ quản,địa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TỔNG HỢPTÌNH HÌNH THỰC HIỆN NGHỊ ĐỊNH SỐ 43/2006/NĐ-CP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Đơn vị Sự nghiệp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đơn vị đã thực hiện giao tự chủ theo NĐ số 43/2006/NĐ- CP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tự bảo đảm toàn bộ CP</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tự bảo đảm một phần CP</w:t>
            </w:r>
          </w:p>
        </w:tc>
        <w:tc>
          <w:tcPr>
            <w:tcW w:w="0" w:type="auto"/>
            <w:hMerge/>
            <w:shd w:val="clear" w:color="auto" w:fill="auto"/>
            <w:vAlign w:val="center"/>
          </w:tcPr>
          <w:p>
            <w:pPr/>
          </w:p>
        </w:tc>
        <w:tc>
          <w:tcPr>
            <w:tcW w:w="0" w:type="auto"/>
            <w:gridSpan w:val="8"/>
            <w:hMerge/>
            <w:shd w:val="clear" w:color="auto" w:fill="auto"/>
            <w:vAlign w:val="center"/>
          </w:tcPr>
          <w:p>
            <w:pPr/>
          </w:p>
        </w:tc>
        <w:tc>
          <w:tcPr>
            <w:tcW w:w="0" w:type="auto"/>
            <w:gridSpan w:val="8"/>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NSNN cấp toàn bộ chi phí</w:t>
            </w:r>
          </w:p>
        </w:tc>
        <w:tc>
          <w:tcPr>
            <w:tcW w:w="0" w:type="auto"/>
            <w:gridSpan w:val="8"/>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tự chủ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tự chủ</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NS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(tr.đồng)</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đơn vị</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NS cấp giao tự chủ (tr.đồng)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giáo dục -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văn hóa thông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TDTT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nghiệp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Tình hình triểnkhai Nghị định số 10 theo Lĩnh vực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đã giao tự chủ</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T.Số</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DVSTCT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NĐ10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ĐT,GD</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YTế</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VH</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Khác</w:t>
            </w: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số</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NĐ 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số</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NĐ 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số</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NĐ 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số</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NĐ 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số</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NĐ 10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7069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1178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2923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tỉnh 78 đơn vị , khối huyện 264 đơn vị</w:t>
            </w: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tỉnh 72 đơn vị,</w:t>
            </w: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Đắc Lắc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Đắc nông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Rịa Vũng Tàu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Ninh Thuận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Thừa Thiên-Huế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866 cấp huyện ,41 cap Tp</w:t>
            </w: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cap tinht 70 cap huyện</w:t>
            </w: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Kon Tum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Thơ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Hậu Giang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Sóc Trăng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Bái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Dương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Giang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Thọ</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Cạn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 Cai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Tây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 Liêu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Trà Vinh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Trị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Dương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Nam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Khánh Hoà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Ngãi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chưa giao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Bằng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Lai Châu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Nam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Kiên Giang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Nghệ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Tây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Định</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13-2007-tt-btc-cua-bo-tai-chinh---sua-doi-bo-sung-thong-tu-so-71-2006-tt-btc-ngay-09-08-2006-cua-bo-tai-chinh-huong-dan-thuc-hien-nghi-dinh-so-43-2006-nd-cp-ngay-25-04-2006-cua-chinh-phu-.aspx" TargetMode="External" /><Relationship Id="rId4" Type="http://schemas.openxmlformats.org/officeDocument/2006/relationships/hyperlink" Target="/thong-tu-71-2006-tt-btc.aspx" TargetMode="External" /><Relationship Id="rId5" Type="http://schemas.openxmlformats.org/officeDocument/2006/relationships/hyperlink" Target="/nghi-dinh-so-60-2003-nd-cp-huong-dan-thi-hanh-luat-ngan-sach-nha-nuoc.aspx" TargetMode="External" /><Relationship Id="rId6" Type="http://schemas.openxmlformats.org/officeDocument/2006/relationships/hyperlink" Target="/nghi-dinh-so-43-2006-nd-cp-cua-chinh-phu---nghi-dinh-quy-dinh-quyen-tu-chu--tu-chiu-trach-nhiem-ve-thuc-hien-nhiem-vu--to-chuc-bo-may--bien-che-va-tai-chinh-doi-voi-don-vi-su-nghiep-cong-lap.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2022-06-21T15:44:15Z</dcterms:created>
  <dcterms:modified xsi:type="dcterms:W3CDTF">2022-06-21T15:44:15Z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2022-06-21T15:44:15Z</dcterms:created>
  <dcterms:modified xsi:type="dcterms:W3CDTF">2022-06-21T15:44:15Z</dcterms:modified>
</cp:coreProperties>
</file>