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708"/>
        <w:gridCol w:w="5148"/>
      </w:tblGrid>
      <w:tr w:rsidR="00A72E6A" w:rsidRPr="00A72E6A" w14:paraId="6673860A" w14:textId="77777777" w:rsidTr="00A72E6A">
        <w:trPr>
          <w:tblCellSpacing w:w="0" w:type="dxa"/>
        </w:trPr>
        <w:tc>
          <w:tcPr>
            <w:tcW w:w="3708" w:type="dxa"/>
            <w:shd w:val="clear" w:color="auto" w:fill="FFFFFF"/>
            <w:tcMar>
              <w:top w:w="30" w:type="dxa"/>
              <w:left w:w="30" w:type="dxa"/>
              <w:bottom w:w="30" w:type="dxa"/>
              <w:right w:w="30" w:type="dxa"/>
            </w:tcMar>
            <w:vAlign w:val="center"/>
            <w:hideMark/>
          </w:tcPr>
          <w:p w14:paraId="3126E834" w14:textId="77777777" w:rsidR="00A72E6A" w:rsidRPr="00A72E6A" w:rsidRDefault="00A72E6A" w:rsidP="00A72E6A">
            <w:pPr>
              <w:jc w:val="center"/>
              <w:rPr>
                <w:rFonts w:ascii="Times New Roman" w:hAnsi="Times New Roman" w:cs="Times New Roman"/>
              </w:rPr>
            </w:pPr>
            <w:r w:rsidRPr="00A72E6A">
              <w:rPr>
                <w:rFonts w:ascii="Times New Roman" w:hAnsi="Times New Roman" w:cs="Times New Roman"/>
                <w:b/>
                <w:bCs/>
              </w:rPr>
              <w:t>ỦY BAN THƯỜNG VỤ QUỐC HỘI  </w:t>
            </w:r>
            <w:r w:rsidRPr="00A72E6A">
              <w:rPr>
                <w:rFonts w:ascii="Times New Roman" w:hAnsi="Times New Roman" w:cs="Times New Roman"/>
                <w:b/>
                <w:bCs/>
              </w:rPr>
              <w:br/>
              <w:t>------</w:t>
            </w:r>
          </w:p>
        </w:tc>
        <w:tc>
          <w:tcPr>
            <w:tcW w:w="5148" w:type="dxa"/>
            <w:shd w:val="clear" w:color="auto" w:fill="FFFFFF"/>
            <w:tcMar>
              <w:top w:w="30" w:type="dxa"/>
              <w:left w:w="30" w:type="dxa"/>
              <w:bottom w:w="30" w:type="dxa"/>
              <w:right w:w="30" w:type="dxa"/>
            </w:tcMar>
            <w:vAlign w:val="center"/>
            <w:hideMark/>
          </w:tcPr>
          <w:p w14:paraId="3CA6CF82" w14:textId="77777777" w:rsidR="00A72E6A" w:rsidRPr="00A72E6A" w:rsidRDefault="00A72E6A" w:rsidP="00A72E6A">
            <w:pPr>
              <w:jc w:val="center"/>
              <w:rPr>
                <w:rFonts w:ascii="Times New Roman" w:hAnsi="Times New Roman" w:cs="Times New Roman"/>
              </w:rPr>
            </w:pPr>
            <w:r w:rsidRPr="00A72E6A">
              <w:rPr>
                <w:rFonts w:ascii="Times New Roman" w:hAnsi="Times New Roman" w:cs="Times New Roman"/>
                <w:b/>
                <w:bCs/>
              </w:rPr>
              <w:t>CỘNG HÒA XÃ HỘI CHỦ NGHĨA VIỆT NAM</w:t>
            </w:r>
            <w:r w:rsidRPr="00A72E6A">
              <w:rPr>
                <w:rFonts w:ascii="Times New Roman" w:hAnsi="Times New Roman" w:cs="Times New Roman"/>
                <w:b/>
                <w:bCs/>
              </w:rPr>
              <w:br/>
              <w:t>Độc lập - Tự do - Hạnh phúc</w:t>
            </w:r>
            <w:r w:rsidRPr="00A72E6A">
              <w:rPr>
                <w:rFonts w:ascii="Times New Roman" w:hAnsi="Times New Roman" w:cs="Times New Roman"/>
                <w:b/>
                <w:bCs/>
              </w:rPr>
              <w:br/>
              <w:t>-------------</w:t>
            </w:r>
          </w:p>
        </w:tc>
      </w:tr>
      <w:tr w:rsidR="00A72E6A" w:rsidRPr="00A72E6A" w14:paraId="31B2B69C" w14:textId="77777777" w:rsidTr="00A72E6A">
        <w:trPr>
          <w:tblCellSpacing w:w="0" w:type="dxa"/>
        </w:trPr>
        <w:tc>
          <w:tcPr>
            <w:tcW w:w="3708" w:type="dxa"/>
            <w:shd w:val="clear" w:color="auto" w:fill="FFFFFF"/>
            <w:tcMar>
              <w:top w:w="30" w:type="dxa"/>
              <w:left w:w="30" w:type="dxa"/>
              <w:bottom w:w="30" w:type="dxa"/>
              <w:right w:w="30" w:type="dxa"/>
            </w:tcMar>
            <w:vAlign w:val="center"/>
            <w:hideMark/>
          </w:tcPr>
          <w:p w14:paraId="78EA2956" w14:textId="77777777" w:rsidR="00A72E6A" w:rsidRPr="00A72E6A" w:rsidRDefault="00A72E6A" w:rsidP="00A72E6A">
            <w:pPr>
              <w:jc w:val="center"/>
              <w:rPr>
                <w:rFonts w:ascii="Times New Roman" w:hAnsi="Times New Roman" w:cs="Times New Roman"/>
              </w:rPr>
            </w:pPr>
            <w:r w:rsidRPr="00A72E6A">
              <w:rPr>
                <w:rFonts w:ascii="Times New Roman" w:hAnsi="Times New Roman" w:cs="Times New Roman"/>
              </w:rPr>
              <w:t>Số: 794/2009/NQ-UBTVQH12</w:t>
            </w:r>
          </w:p>
        </w:tc>
        <w:tc>
          <w:tcPr>
            <w:tcW w:w="5148" w:type="dxa"/>
            <w:shd w:val="clear" w:color="auto" w:fill="FFFFFF"/>
            <w:tcMar>
              <w:top w:w="30" w:type="dxa"/>
              <w:left w:w="30" w:type="dxa"/>
              <w:bottom w:w="30" w:type="dxa"/>
              <w:right w:w="30" w:type="dxa"/>
            </w:tcMar>
            <w:vAlign w:val="center"/>
            <w:hideMark/>
          </w:tcPr>
          <w:p w14:paraId="4A40C42C" w14:textId="77777777" w:rsidR="00A72E6A" w:rsidRPr="00A72E6A" w:rsidRDefault="00A72E6A" w:rsidP="00A72E6A">
            <w:pPr>
              <w:jc w:val="right"/>
              <w:rPr>
                <w:rFonts w:ascii="Times New Roman" w:hAnsi="Times New Roman" w:cs="Times New Roman"/>
              </w:rPr>
            </w:pPr>
            <w:r w:rsidRPr="00A72E6A">
              <w:rPr>
                <w:rFonts w:ascii="Times New Roman" w:hAnsi="Times New Roman" w:cs="Times New Roman"/>
                <w:i/>
                <w:iCs/>
              </w:rPr>
              <w:t>Hà Nội, ngày 22 tháng 06 năm 2009</w:t>
            </w:r>
          </w:p>
        </w:tc>
      </w:tr>
    </w:tbl>
    <w:p w14:paraId="3014445B" w14:textId="77777777" w:rsidR="00A72E6A" w:rsidRPr="00A72E6A" w:rsidRDefault="00A72E6A" w:rsidP="00A72E6A">
      <w:pPr>
        <w:rPr>
          <w:rFonts w:ascii="Times New Roman" w:hAnsi="Times New Roman" w:cs="Times New Roman"/>
        </w:rPr>
      </w:pPr>
    </w:p>
    <w:p w14:paraId="148F2E0E" w14:textId="77777777" w:rsidR="00A72E6A" w:rsidRPr="00A72E6A" w:rsidRDefault="00A72E6A" w:rsidP="00A72E6A">
      <w:pPr>
        <w:jc w:val="center"/>
        <w:rPr>
          <w:rFonts w:ascii="Times New Roman" w:hAnsi="Times New Roman" w:cs="Times New Roman"/>
        </w:rPr>
      </w:pPr>
      <w:r w:rsidRPr="00A72E6A">
        <w:rPr>
          <w:rFonts w:ascii="Times New Roman" w:hAnsi="Times New Roman" w:cs="Times New Roman"/>
          <w:b/>
          <w:bCs/>
        </w:rPr>
        <w:t>NGHỊ QUYẾT</w:t>
      </w:r>
    </w:p>
    <w:p w14:paraId="53E67E24" w14:textId="77777777" w:rsidR="00A72E6A" w:rsidRPr="00A72E6A" w:rsidRDefault="00A72E6A" w:rsidP="00A72E6A">
      <w:pPr>
        <w:jc w:val="center"/>
        <w:rPr>
          <w:rFonts w:ascii="Times New Roman" w:hAnsi="Times New Roman" w:cs="Times New Roman"/>
        </w:rPr>
      </w:pPr>
      <w:r w:rsidRPr="00A72E6A">
        <w:rPr>
          <w:rFonts w:ascii="Times New Roman" w:hAnsi="Times New Roman" w:cs="Times New Roman"/>
        </w:rPr>
        <w:t>SỬA ĐỔI, BỔ SUNG CHẾ ĐỘ ƯU TIÊN ĐỐI VỚI CÁN BỘ, CÔNG CHỨC VÀ NGƯỜI LAO ĐỘNG CỦA KIỂM TOÁN NHÀ NƯỚC BAN HÀNH KÈM THEO NGHỊ QUYẾT SỐ 1003/2006/NQ-UBTVQH11 NGÀY 03 THÁNG 3 NĂM 2006</w:t>
      </w:r>
    </w:p>
    <w:p w14:paraId="4C82079D" w14:textId="77777777" w:rsidR="00A72E6A" w:rsidRPr="00A72E6A" w:rsidRDefault="00A72E6A" w:rsidP="00A72E6A">
      <w:pPr>
        <w:jc w:val="center"/>
        <w:rPr>
          <w:rFonts w:ascii="Times New Roman" w:hAnsi="Times New Roman" w:cs="Times New Roman"/>
        </w:rPr>
      </w:pPr>
      <w:r w:rsidRPr="00A72E6A">
        <w:rPr>
          <w:rFonts w:ascii="Times New Roman" w:hAnsi="Times New Roman" w:cs="Times New Roman"/>
          <w:b/>
          <w:bCs/>
        </w:rPr>
        <w:t>ỦY BAN THƯỜNG VỤ QUỐC HỘI</w:t>
      </w:r>
      <w:r w:rsidRPr="00A72E6A">
        <w:rPr>
          <w:rFonts w:ascii="Times New Roman" w:hAnsi="Times New Roman" w:cs="Times New Roman"/>
          <w:b/>
          <w:bCs/>
        </w:rPr>
        <w:br/>
        <w:t>NƯỚC CỘNG HÒA XÃ HỘI CHỦ NGHĨA VIỆT NAM</w:t>
      </w:r>
    </w:p>
    <w:p w14:paraId="336AF863" w14:textId="77777777" w:rsidR="00A72E6A" w:rsidRPr="00A72E6A" w:rsidRDefault="00A72E6A" w:rsidP="00A72E6A">
      <w:pPr>
        <w:rPr>
          <w:rFonts w:ascii="Times New Roman" w:hAnsi="Times New Roman" w:cs="Times New Roman"/>
        </w:rPr>
      </w:pPr>
      <w:r w:rsidRPr="00A72E6A">
        <w:rPr>
          <w:rFonts w:ascii="Times New Roman" w:hAnsi="Times New Roman" w:cs="Times New Roman"/>
          <w:i/>
          <w:iCs/>
        </w:rPr>
        <w:t>Căn cứ Luật tổ chức Quốc hội;</w:t>
      </w:r>
    </w:p>
    <w:p w14:paraId="29C7CC73" w14:textId="77777777" w:rsidR="00A72E6A" w:rsidRPr="00A72E6A" w:rsidRDefault="00A72E6A" w:rsidP="00A72E6A">
      <w:pPr>
        <w:rPr>
          <w:rFonts w:ascii="Times New Roman" w:hAnsi="Times New Roman" w:cs="Times New Roman"/>
        </w:rPr>
      </w:pPr>
      <w:r w:rsidRPr="00A72E6A">
        <w:rPr>
          <w:rFonts w:ascii="Times New Roman" w:hAnsi="Times New Roman" w:cs="Times New Roman"/>
          <w:i/>
          <w:iCs/>
        </w:rPr>
        <w:t>Căn cứ Luật kiểm toán nhà nước;</w:t>
      </w:r>
    </w:p>
    <w:p w14:paraId="70FB337D" w14:textId="77777777" w:rsidR="00A72E6A" w:rsidRPr="00A72E6A" w:rsidRDefault="00A72E6A" w:rsidP="00A72E6A">
      <w:pPr>
        <w:rPr>
          <w:rFonts w:ascii="Times New Roman" w:hAnsi="Times New Roman" w:cs="Times New Roman"/>
        </w:rPr>
      </w:pPr>
      <w:r w:rsidRPr="00A72E6A">
        <w:rPr>
          <w:rFonts w:ascii="Times New Roman" w:hAnsi="Times New Roman" w:cs="Times New Roman"/>
          <w:i/>
          <w:iCs/>
        </w:rPr>
        <w:t>Sau khi xem xét Tờ trình số 388/TTr-KTNN ngày 28/4/2009 của Tổng Kiểm toán Nhà nước, Báo cáo thẩm tra số 808/BC-UBTCNS12 ngày 11/5/2009 của Ủy ban Tài chính - Ngân sách về việc sửa đổi, bổ sung một số nội dung Nghị quyết số 1003/2006/NQ-UBTVQH11 ngày 03/3/2006 của Ủy ban thường vụ Quốc hội,</w:t>
      </w:r>
    </w:p>
    <w:p w14:paraId="6FF328D6" w14:textId="77777777" w:rsidR="00A72E6A" w:rsidRPr="00A72E6A" w:rsidRDefault="00A72E6A" w:rsidP="00A72E6A">
      <w:pPr>
        <w:jc w:val="center"/>
        <w:rPr>
          <w:rFonts w:ascii="Times New Roman" w:hAnsi="Times New Roman" w:cs="Times New Roman"/>
        </w:rPr>
      </w:pPr>
      <w:r w:rsidRPr="00A72E6A">
        <w:rPr>
          <w:rFonts w:ascii="Times New Roman" w:hAnsi="Times New Roman" w:cs="Times New Roman"/>
          <w:b/>
          <w:bCs/>
        </w:rPr>
        <w:t>QUYẾT NGHỊ</w:t>
      </w:r>
    </w:p>
    <w:p w14:paraId="5E727F45" w14:textId="77777777" w:rsidR="00A72E6A" w:rsidRPr="00A72E6A" w:rsidRDefault="00A72E6A" w:rsidP="00A72E6A">
      <w:pPr>
        <w:rPr>
          <w:rFonts w:ascii="Times New Roman" w:hAnsi="Times New Roman" w:cs="Times New Roman"/>
        </w:rPr>
      </w:pPr>
      <w:r w:rsidRPr="00A72E6A">
        <w:rPr>
          <w:rFonts w:ascii="Times New Roman" w:hAnsi="Times New Roman" w:cs="Times New Roman"/>
          <w:b/>
          <w:bCs/>
        </w:rPr>
        <w:t>Điều 1.</w:t>
      </w:r>
      <w:r w:rsidRPr="00A72E6A">
        <w:rPr>
          <w:rFonts w:ascii="Times New Roman" w:hAnsi="Times New Roman" w:cs="Times New Roman"/>
        </w:rPr>
        <w:t> Sửa đổi, bổ sung chế độ ưu tiên đối với cán bộ, công chức và người lao động của Kiểm toán Nhà nước ban hành kèm theo Nghị quyết số 1003/2006/NQ-UBTVQH11 ngày 03/3/2006 của Ủy ban thường vụ Quốc hội như sau:</w:t>
      </w:r>
    </w:p>
    <w:p w14:paraId="698958B3" w14:textId="77777777" w:rsidR="00A72E6A" w:rsidRPr="00A72E6A" w:rsidRDefault="00A72E6A" w:rsidP="00A72E6A">
      <w:pPr>
        <w:rPr>
          <w:rFonts w:ascii="Times New Roman" w:hAnsi="Times New Roman" w:cs="Times New Roman"/>
        </w:rPr>
      </w:pPr>
      <w:r w:rsidRPr="00A72E6A">
        <w:rPr>
          <w:rFonts w:ascii="Times New Roman" w:hAnsi="Times New Roman" w:cs="Times New Roman"/>
        </w:rPr>
        <w:t>1. Căn cứ vào kết quả thực hiện kiến nghị kiểm toán hàng năm, Kiểm toán Nhà nước được trích 2% số tiền do Kiểm toán Nhà nước phát hiện và kiến nghị, bao gồm:</w:t>
      </w:r>
    </w:p>
    <w:p w14:paraId="551CB4AD" w14:textId="77777777" w:rsidR="00A72E6A" w:rsidRPr="00A72E6A" w:rsidRDefault="00A72E6A" w:rsidP="00A72E6A">
      <w:pPr>
        <w:rPr>
          <w:rFonts w:ascii="Times New Roman" w:hAnsi="Times New Roman" w:cs="Times New Roman"/>
        </w:rPr>
      </w:pPr>
      <w:r w:rsidRPr="00A72E6A">
        <w:rPr>
          <w:rFonts w:ascii="Times New Roman" w:hAnsi="Times New Roman" w:cs="Times New Roman"/>
        </w:rPr>
        <w:t>a. Các khoản tăng thu ngân sách nhà nước về thuế, phí, lệ phí và các khoản thu khác đã nộp ngân sách nhà nước;</w:t>
      </w:r>
    </w:p>
    <w:p w14:paraId="494C2F08" w14:textId="77777777" w:rsidR="00A72E6A" w:rsidRPr="00A72E6A" w:rsidRDefault="00A72E6A" w:rsidP="00A72E6A">
      <w:pPr>
        <w:rPr>
          <w:rFonts w:ascii="Times New Roman" w:hAnsi="Times New Roman" w:cs="Times New Roman"/>
        </w:rPr>
      </w:pPr>
      <w:r w:rsidRPr="00A72E6A">
        <w:rPr>
          <w:rFonts w:ascii="Times New Roman" w:hAnsi="Times New Roman" w:cs="Times New Roman"/>
        </w:rPr>
        <w:t>b. Các khoản chi ngân sách sai chế độ đã nộp lại ngân sách nhà nước;</w:t>
      </w:r>
    </w:p>
    <w:p w14:paraId="0AB52C1D" w14:textId="77777777" w:rsidR="00A72E6A" w:rsidRPr="00A72E6A" w:rsidRDefault="00A72E6A" w:rsidP="00A72E6A">
      <w:pPr>
        <w:rPr>
          <w:rFonts w:ascii="Times New Roman" w:hAnsi="Times New Roman" w:cs="Times New Roman"/>
        </w:rPr>
      </w:pPr>
      <w:r w:rsidRPr="00A72E6A">
        <w:rPr>
          <w:rFonts w:ascii="Times New Roman" w:hAnsi="Times New Roman" w:cs="Times New Roman"/>
        </w:rPr>
        <w:t>c. Các khoản chi ngân sách sai chế độ đã xử lý giảm chi, giảm thanh toán vào ngân sách năm sau.</w:t>
      </w:r>
    </w:p>
    <w:p w14:paraId="6369FEB8" w14:textId="77777777" w:rsidR="00A72E6A" w:rsidRPr="00A72E6A" w:rsidRDefault="00A72E6A" w:rsidP="00A72E6A">
      <w:pPr>
        <w:rPr>
          <w:rFonts w:ascii="Times New Roman" w:hAnsi="Times New Roman" w:cs="Times New Roman"/>
        </w:rPr>
      </w:pPr>
      <w:r w:rsidRPr="00A72E6A">
        <w:rPr>
          <w:rFonts w:ascii="Times New Roman" w:hAnsi="Times New Roman" w:cs="Times New Roman"/>
        </w:rPr>
        <w:t>2. Kho bạc Nhà nước xác nhận các khoản tăng thu ngân sách nhà nước, các khoản chi ngân sách sai chế độ đã nộp ngân sách nhà nước và các khoản chi ngân sách sai chế độ đã giảm chi, giảm thanh toán trong ngân sách năm sau của các cơ quan, đơn vị thực hiện kiến nghị của Kiểm toán Nhà nước.</w:t>
      </w:r>
    </w:p>
    <w:p w14:paraId="745DBCCC" w14:textId="77777777" w:rsidR="00A72E6A" w:rsidRPr="00A72E6A" w:rsidRDefault="00A72E6A" w:rsidP="00A72E6A">
      <w:pPr>
        <w:rPr>
          <w:rFonts w:ascii="Times New Roman" w:hAnsi="Times New Roman" w:cs="Times New Roman"/>
        </w:rPr>
      </w:pPr>
      <w:r w:rsidRPr="00A72E6A">
        <w:rPr>
          <w:rFonts w:ascii="Times New Roman" w:hAnsi="Times New Roman" w:cs="Times New Roman"/>
        </w:rPr>
        <w:lastRenderedPageBreak/>
        <w:t>3. Kiểm toán Nhà nước sử dụng số kinh phí 2% để chi cho các nội dung sau:</w:t>
      </w:r>
    </w:p>
    <w:p w14:paraId="4B20C3C9" w14:textId="77777777" w:rsidR="00A72E6A" w:rsidRPr="00A72E6A" w:rsidRDefault="00A72E6A" w:rsidP="00A72E6A">
      <w:pPr>
        <w:rPr>
          <w:rFonts w:ascii="Times New Roman" w:hAnsi="Times New Roman" w:cs="Times New Roman"/>
        </w:rPr>
      </w:pPr>
      <w:r w:rsidRPr="00A72E6A">
        <w:rPr>
          <w:rFonts w:ascii="Times New Roman" w:hAnsi="Times New Roman" w:cs="Times New Roman"/>
        </w:rPr>
        <w:t>a. Chi khuyến khích, thưởng cho cán bộ, công chức và người lao động của Kiểm toán Nhà nước không vượt quá 0,8 lần lương cấp bậc, phụ cấp chức vụ, vượt khung và phụ cấp nghề nghiệp;</w:t>
      </w:r>
    </w:p>
    <w:p w14:paraId="4303E297" w14:textId="77777777" w:rsidR="00A72E6A" w:rsidRPr="00A72E6A" w:rsidRDefault="00A72E6A" w:rsidP="00A72E6A">
      <w:pPr>
        <w:rPr>
          <w:rFonts w:ascii="Times New Roman" w:hAnsi="Times New Roman" w:cs="Times New Roman"/>
        </w:rPr>
      </w:pPr>
      <w:r w:rsidRPr="00A72E6A">
        <w:rPr>
          <w:rFonts w:ascii="Times New Roman" w:hAnsi="Times New Roman" w:cs="Times New Roman"/>
        </w:rPr>
        <w:t>b. Số kinh phí còn lại sau khi chi khuyến khích, thưởng cho cán bộ, công chức và người lao động của Kiểm toán Nhà nước được sử dụng để đầu tư cơ sở vật chất và tăng cường năng lực hoạt động của ngành.</w:t>
      </w:r>
    </w:p>
    <w:p w14:paraId="07189C44" w14:textId="77777777" w:rsidR="00A72E6A" w:rsidRPr="00A72E6A" w:rsidRDefault="00A72E6A" w:rsidP="00A72E6A">
      <w:pPr>
        <w:rPr>
          <w:rFonts w:ascii="Times New Roman" w:hAnsi="Times New Roman" w:cs="Times New Roman"/>
        </w:rPr>
      </w:pPr>
      <w:r w:rsidRPr="00A72E6A">
        <w:rPr>
          <w:rFonts w:ascii="Times New Roman" w:hAnsi="Times New Roman" w:cs="Times New Roman"/>
        </w:rPr>
        <w:t>4. Kho bạc Nhà nước chịu trách nhiệm về tính chính xác của số liệu xác nhận làm căn cứ tính 2% cho Kiểm toán Nhà nước. Hàng năm, Tổng Kiểm toán Nhà nước báo cáo Ủy ban thường vụ Quốc hội phương án phân bổ và sử dụng số kinh phí trên.</w:t>
      </w:r>
    </w:p>
    <w:p w14:paraId="562F9546" w14:textId="77777777" w:rsidR="00A72E6A" w:rsidRPr="00A72E6A" w:rsidRDefault="00A72E6A" w:rsidP="00A72E6A">
      <w:pPr>
        <w:rPr>
          <w:rFonts w:ascii="Times New Roman" w:hAnsi="Times New Roman" w:cs="Times New Roman"/>
        </w:rPr>
      </w:pPr>
      <w:r w:rsidRPr="00A72E6A">
        <w:rPr>
          <w:rFonts w:ascii="Times New Roman" w:hAnsi="Times New Roman" w:cs="Times New Roman"/>
          <w:b/>
          <w:bCs/>
        </w:rPr>
        <w:t>Điều 2.</w:t>
      </w:r>
      <w:r w:rsidRPr="00A72E6A">
        <w:rPr>
          <w:rFonts w:ascii="Times New Roman" w:hAnsi="Times New Roman" w:cs="Times New Roman"/>
        </w:rPr>
        <w:t> Chính phủ hướng dẫn thực hiện chế độ ưu tiên đối với cán bộ, công chức và người lao động của Kiểm toán Nhà nước quy định tại Nghị quyết này.</w:t>
      </w:r>
    </w:p>
    <w:p w14:paraId="7A7E7D96" w14:textId="77777777" w:rsidR="00A72E6A" w:rsidRPr="00A72E6A" w:rsidRDefault="00A72E6A" w:rsidP="00A72E6A">
      <w:pPr>
        <w:rPr>
          <w:rFonts w:ascii="Times New Roman" w:hAnsi="Times New Roman" w:cs="Times New Roman"/>
        </w:rPr>
      </w:pPr>
      <w:r w:rsidRPr="00A72E6A">
        <w:rPr>
          <w:rFonts w:ascii="Times New Roman" w:hAnsi="Times New Roman" w:cs="Times New Roman"/>
          <w:b/>
          <w:bCs/>
        </w:rPr>
        <w:t>Điều 3.</w:t>
      </w:r>
      <w:r w:rsidRPr="00A72E6A">
        <w:rPr>
          <w:rFonts w:ascii="Times New Roman" w:hAnsi="Times New Roman" w:cs="Times New Roman"/>
        </w:rPr>
        <w:t> Nghị quyết này có hiệu lực kể từ ngày 01 tháng 7 năm 2009; số tiền do kiểm toán phát hiện và kiến nghị qua kiểm toán Ngân sách nhà nước từ năm 2007 được áp dụng theo Nghị quyết này. Những quy định tại Nghị quyết số 1003/2006/NQ-UBTVQH11 ngày 03/3/2006 trái với Nghị quyết này được bãi bỏ.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A72E6A" w:rsidRPr="00A72E6A" w14:paraId="4FA79B37" w14:textId="77777777" w:rsidTr="00A72E6A">
        <w:trPr>
          <w:tblCellSpacing w:w="0" w:type="dxa"/>
        </w:trPr>
        <w:tc>
          <w:tcPr>
            <w:tcW w:w="4428" w:type="dxa"/>
            <w:shd w:val="clear" w:color="auto" w:fill="FFFFFF"/>
            <w:tcMar>
              <w:top w:w="30" w:type="dxa"/>
              <w:left w:w="30" w:type="dxa"/>
              <w:bottom w:w="30" w:type="dxa"/>
              <w:right w:w="30" w:type="dxa"/>
            </w:tcMar>
            <w:vAlign w:val="center"/>
            <w:hideMark/>
          </w:tcPr>
          <w:p w14:paraId="61A4D78E" w14:textId="77777777" w:rsidR="00A72E6A" w:rsidRPr="00A72E6A" w:rsidRDefault="00A72E6A" w:rsidP="00A72E6A">
            <w:pPr>
              <w:rPr>
                <w:rFonts w:ascii="Times New Roman" w:hAnsi="Times New Roman" w:cs="Times New Roman"/>
              </w:rPr>
            </w:pPr>
          </w:p>
        </w:tc>
        <w:tc>
          <w:tcPr>
            <w:tcW w:w="4428" w:type="dxa"/>
            <w:shd w:val="clear" w:color="auto" w:fill="FFFFFF"/>
            <w:tcMar>
              <w:top w:w="30" w:type="dxa"/>
              <w:left w:w="30" w:type="dxa"/>
              <w:bottom w:w="30" w:type="dxa"/>
              <w:right w:w="30" w:type="dxa"/>
            </w:tcMar>
            <w:vAlign w:val="center"/>
            <w:hideMark/>
          </w:tcPr>
          <w:p w14:paraId="0BEE4A5D" w14:textId="77777777" w:rsidR="00A72E6A" w:rsidRPr="00A72E6A" w:rsidRDefault="00A72E6A" w:rsidP="00A72E6A">
            <w:pPr>
              <w:jc w:val="center"/>
              <w:rPr>
                <w:rFonts w:ascii="Times New Roman" w:hAnsi="Times New Roman" w:cs="Times New Roman"/>
              </w:rPr>
            </w:pPr>
            <w:r w:rsidRPr="00A72E6A">
              <w:rPr>
                <w:rFonts w:ascii="Times New Roman" w:hAnsi="Times New Roman" w:cs="Times New Roman"/>
                <w:b/>
                <w:bCs/>
              </w:rPr>
              <w:t>TM. ỦY BAN THƯỜNG VỤ QUỐC HỘI</w:t>
            </w:r>
            <w:r w:rsidRPr="00A72E6A">
              <w:rPr>
                <w:rFonts w:ascii="Times New Roman" w:hAnsi="Times New Roman" w:cs="Times New Roman"/>
                <w:b/>
                <w:bCs/>
              </w:rPr>
              <w:br/>
              <w:t>CHỦ TỊCH</w:t>
            </w:r>
            <w:r w:rsidRPr="00A72E6A">
              <w:rPr>
                <w:rFonts w:ascii="Times New Roman" w:hAnsi="Times New Roman" w:cs="Times New Roman"/>
                <w:b/>
                <w:bCs/>
              </w:rPr>
              <w:br/>
            </w:r>
            <w:r w:rsidRPr="00A72E6A">
              <w:rPr>
                <w:rFonts w:ascii="Times New Roman" w:hAnsi="Times New Roman" w:cs="Times New Roman"/>
                <w:b/>
                <w:bCs/>
              </w:rPr>
              <w:br/>
            </w:r>
            <w:r w:rsidRPr="00A72E6A">
              <w:rPr>
                <w:rFonts w:ascii="Times New Roman" w:hAnsi="Times New Roman" w:cs="Times New Roman"/>
                <w:b/>
                <w:bCs/>
              </w:rPr>
              <w:br/>
            </w:r>
            <w:r w:rsidRPr="00A72E6A">
              <w:rPr>
                <w:rFonts w:ascii="Times New Roman" w:hAnsi="Times New Roman" w:cs="Times New Roman"/>
                <w:b/>
                <w:bCs/>
              </w:rPr>
              <w:br/>
            </w:r>
            <w:r w:rsidRPr="00A72E6A">
              <w:rPr>
                <w:rFonts w:ascii="Times New Roman" w:hAnsi="Times New Roman" w:cs="Times New Roman"/>
                <w:b/>
                <w:bCs/>
              </w:rPr>
              <w:br/>
              <w:t>Nguyễn Phú Trọng</w:t>
            </w:r>
          </w:p>
        </w:tc>
      </w:tr>
    </w:tbl>
    <w:p w14:paraId="4C44C8E2" w14:textId="77777777" w:rsidR="00A72E6A" w:rsidRPr="00A72E6A" w:rsidRDefault="00A72E6A">
      <w:pPr>
        <w:rPr>
          <w:rFonts w:ascii="Times New Roman" w:hAnsi="Times New Roman" w:cs="Times New Roman"/>
        </w:rPr>
      </w:pPr>
    </w:p>
    <w:sectPr w:rsidR="00A72E6A" w:rsidRPr="00A72E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6A"/>
    <w:rsid w:val="00A72E6A"/>
    <w:rsid w:val="00CD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BB804"/>
  <w15:chartTrackingRefBased/>
  <w15:docId w15:val="{C337EBCA-35CD-45BD-B4CA-328C01AF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E6A"/>
    <w:rPr>
      <w:rFonts w:eastAsiaTheme="majorEastAsia" w:cstheme="majorBidi"/>
      <w:color w:val="272727" w:themeColor="text1" w:themeTint="D8"/>
    </w:rPr>
  </w:style>
  <w:style w:type="paragraph" w:styleId="Title">
    <w:name w:val="Title"/>
    <w:basedOn w:val="Normal"/>
    <w:next w:val="Normal"/>
    <w:link w:val="TitleChar"/>
    <w:uiPriority w:val="10"/>
    <w:qFormat/>
    <w:rsid w:val="00A72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E6A"/>
    <w:pPr>
      <w:spacing w:before="160"/>
      <w:jc w:val="center"/>
    </w:pPr>
    <w:rPr>
      <w:i/>
      <w:iCs/>
      <w:color w:val="404040" w:themeColor="text1" w:themeTint="BF"/>
    </w:rPr>
  </w:style>
  <w:style w:type="character" w:customStyle="1" w:styleId="QuoteChar">
    <w:name w:val="Quote Char"/>
    <w:basedOn w:val="DefaultParagraphFont"/>
    <w:link w:val="Quote"/>
    <w:uiPriority w:val="29"/>
    <w:rsid w:val="00A72E6A"/>
    <w:rPr>
      <w:i/>
      <w:iCs/>
      <w:color w:val="404040" w:themeColor="text1" w:themeTint="BF"/>
    </w:rPr>
  </w:style>
  <w:style w:type="paragraph" w:styleId="ListParagraph">
    <w:name w:val="List Paragraph"/>
    <w:basedOn w:val="Normal"/>
    <w:uiPriority w:val="34"/>
    <w:qFormat/>
    <w:rsid w:val="00A72E6A"/>
    <w:pPr>
      <w:ind w:left="720"/>
      <w:contextualSpacing/>
    </w:pPr>
  </w:style>
  <w:style w:type="character" w:styleId="IntenseEmphasis">
    <w:name w:val="Intense Emphasis"/>
    <w:basedOn w:val="DefaultParagraphFont"/>
    <w:uiPriority w:val="21"/>
    <w:qFormat/>
    <w:rsid w:val="00A72E6A"/>
    <w:rPr>
      <w:i/>
      <w:iCs/>
      <w:color w:val="0F4761" w:themeColor="accent1" w:themeShade="BF"/>
    </w:rPr>
  </w:style>
  <w:style w:type="paragraph" w:styleId="IntenseQuote">
    <w:name w:val="Intense Quote"/>
    <w:basedOn w:val="Normal"/>
    <w:next w:val="Normal"/>
    <w:link w:val="IntenseQuoteChar"/>
    <w:uiPriority w:val="30"/>
    <w:qFormat/>
    <w:rsid w:val="00A72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E6A"/>
    <w:rPr>
      <w:i/>
      <w:iCs/>
      <w:color w:val="0F4761" w:themeColor="accent1" w:themeShade="BF"/>
    </w:rPr>
  </w:style>
  <w:style w:type="character" w:styleId="IntenseReference">
    <w:name w:val="Intense Reference"/>
    <w:basedOn w:val="DefaultParagraphFont"/>
    <w:uiPriority w:val="32"/>
    <w:qFormat/>
    <w:rsid w:val="00A72E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7888457">
      <w:bodyDiv w:val="1"/>
      <w:marLeft w:val="0"/>
      <w:marRight w:val="0"/>
      <w:marTop w:val="0"/>
      <w:marBottom w:val="0"/>
      <w:divBdr>
        <w:top w:val="none" w:sz="0" w:space="0" w:color="auto"/>
        <w:left w:val="none" w:sz="0" w:space="0" w:color="auto"/>
        <w:bottom w:val="none" w:sz="0" w:space="0" w:color="auto"/>
        <w:right w:val="none" w:sz="0" w:space="0" w:color="auto"/>
      </w:divBdr>
    </w:div>
    <w:div w:id="161371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2024-12-21T13:19:00Z</dcterms:created>
  <dcterms:modified xsi:type="dcterms:W3CDTF">2024-12-21T13:20:00Z</dcterms:modified>
</cp:coreProperties>
</file>