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14CA1" w14:paraId="3729EA35" w14:textId="77777777" w:rsidTr="00114C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C111A" w14:textId="77777777" w:rsidR="00114CA1" w:rsidRDefault="00114CA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91CFD" w14:textId="77777777" w:rsidR="00114CA1" w:rsidRDefault="00114C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4CA1" w14:paraId="547DBB58" w14:textId="77777777" w:rsidTr="00114C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AB3FE" w14:textId="77777777" w:rsidR="00114CA1" w:rsidRDefault="00114C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105/2024/NĐ-CP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7EEB7" w14:textId="77777777" w:rsidR="00114CA1" w:rsidRDefault="00114C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8 năm 2024</w:t>
            </w:r>
          </w:p>
        </w:tc>
      </w:tr>
    </w:tbl>
    <w:p w14:paraId="76890924" w14:textId="77777777" w:rsidR="00114CA1" w:rsidRDefault="00114CA1" w:rsidP="00114CA1">
      <w:pPr>
        <w:pStyle w:val="NormalWeb"/>
        <w:spacing w:after="90" w:afterAutospacing="0" w:line="345" w:lineRule="atLeast"/>
        <w:jc w:val="both"/>
        <w:rPr>
          <w:rFonts w:ascii="Arial" w:hAnsi="Arial" w:cs="Arial"/>
          <w:color w:val="000000"/>
          <w:sz w:val="21"/>
          <w:szCs w:val="21"/>
        </w:rPr>
      </w:pPr>
    </w:p>
    <w:p w14:paraId="023092AF" w14:textId="77777777" w:rsidR="00114CA1" w:rsidRDefault="00114CA1" w:rsidP="00114C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C77E691" w14:textId="77777777" w:rsidR="00114CA1" w:rsidRDefault="00114CA1" w:rsidP="00114C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14:paraId="3ED51BD9"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 </w:t>
        </w:r>
      </w:hyperlink>
      <w:r>
        <w:rPr>
          <w:rStyle w:val="Emphasis"/>
          <w:rFonts w:ascii="Arial" w:hAnsi="Arial" w:cs="Arial"/>
          <w:color w:val="000000"/>
          <w:sz w:val="21"/>
          <w:szCs w:val="21"/>
        </w:rPr>
        <w:t>ngày 19 tháng 6 năm 2015;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09A3624"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Điện lực</w:t>
        </w:r>
      </w:hyperlink>
      <w:r>
        <w:rPr>
          <w:rStyle w:val="Emphasis"/>
          <w:rFonts w:ascii="Arial" w:hAnsi="Arial" w:cs="Arial"/>
          <w:color w:val="000000"/>
          <w:sz w:val="21"/>
          <w:szCs w:val="21"/>
        </w:rPr>
        <w:t> ngày 03 tháng 12 năm 2004; </w:t>
      </w:r>
      <w:hyperlink r:id="rId9" w:history="1">
        <w:r>
          <w:rPr>
            <w:rStyle w:val="Hyperlink"/>
            <w:rFonts w:ascii="Arial" w:hAnsi="Arial" w:cs="Arial"/>
            <w:i/>
            <w:iCs/>
            <w:color w:val="135ECD"/>
            <w:sz w:val="21"/>
            <w:szCs w:val="21"/>
          </w:rPr>
          <w:t>Luật sửa đổi, bổ sung một số điều của Luật Điện lực</w:t>
        </w:r>
      </w:hyperlink>
      <w:r>
        <w:rPr>
          <w:rStyle w:val="Emphasis"/>
          <w:rFonts w:ascii="Arial" w:hAnsi="Arial" w:cs="Arial"/>
          <w:color w:val="000000"/>
          <w:sz w:val="21"/>
          <w:szCs w:val="21"/>
        </w:rPr>
        <w:t> ngày 20 tháng 11 năm 2012;</w:t>
      </w:r>
    </w:p>
    <w:p w14:paraId="071BC28C"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sửa đổi, bổ sung một số điều của 11 luật có liên quan đến quy hoạch</w:t>
        </w:r>
      </w:hyperlink>
      <w:r>
        <w:rPr>
          <w:rStyle w:val="Emphasis"/>
          <w:rFonts w:ascii="Arial" w:hAnsi="Arial" w:cs="Arial"/>
          <w:color w:val="000000"/>
          <w:sz w:val="21"/>
          <w:szCs w:val="21"/>
        </w:rPr>
        <w:t> ngày 15 tháng 6 năm 2018;</w:t>
      </w:r>
    </w:p>
    <w:p w14:paraId="4F032291"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hyperlink>
      <w:r>
        <w:rPr>
          <w:rStyle w:val="Emphasis"/>
          <w:rFonts w:ascii="Arial" w:hAnsi="Arial" w:cs="Arial"/>
          <w:color w:val="000000"/>
          <w:sz w:val="21"/>
          <w:szCs w:val="21"/>
        </w:rPr>
        <w:t> ngày 11 tháng 01 năm 2022;</w:t>
      </w:r>
    </w:p>
    <w:p w14:paraId="4651E6DF"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4F12DCD1"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Quản lý, sử dụng vốn nhà nước đầu tư vào sản xuất, kinh doanh tại doanh nghiệp</w:t>
        </w:r>
      </w:hyperlink>
      <w:r>
        <w:rPr>
          <w:rStyle w:val="Emphasis"/>
          <w:rFonts w:ascii="Arial" w:hAnsi="Arial" w:cs="Arial"/>
          <w:color w:val="000000"/>
          <w:sz w:val="21"/>
          <w:szCs w:val="21"/>
        </w:rPr>
        <w:t> ngày 26 tháng 11 năm 2014;</w:t>
      </w:r>
    </w:p>
    <w:p w14:paraId="21AE15AB"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2E820F7F"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14" w:history="1">
        <w:r>
          <w:rPr>
            <w:rStyle w:val="Hyperlink"/>
            <w:rFonts w:ascii="Arial" w:hAnsi="Arial" w:cs="Arial"/>
            <w:i/>
            <w:iCs/>
            <w:color w:val="135ECD"/>
            <w:sz w:val="21"/>
            <w:szCs w:val="21"/>
          </w:rPr>
          <w:t>96/2022/NĐ-CP </w:t>
        </w:r>
      </w:hyperlink>
      <w:r>
        <w:rPr>
          <w:rStyle w:val="Emphasis"/>
          <w:rFonts w:ascii="Arial" w:hAnsi="Arial" w:cs="Arial"/>
          <w:color w:val="000000"/>
          <w:sz w:val="21"/>
          <w:szCs w:val="21"/>
        </w:rPr>
        <w:t>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14:paraId="4E9954D3"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Sửa đổi, bổ sung khoản 7 Điều 2 Nghị định số 96/2022/NĐ-CP ngày 29 tháng 11 năm 2022 của Chính phủ quy định chức năng, nhiệm vụ, quyền hạn và cơ cấu tổ chức của Bộ Công Thương</w:t>
      </w:r>
    </w:p>
    <w:p w14:paraId="6B580CC0"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d như sau:</w:t>
      </w:r>
    </w:p>
    <w:p w14:paraId="2BEE0362"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Bộ Tài chính hướng dẫn phương pháp lập khung giá phát điện, khung giá bán buôn điện, giá truyền tải điện, giá phân phối điện, giá dịch vụ phụ trợ hệ thống điện, giá điều độ vận hành hệ thống điện và giá điều hành giao dịch thị trường điện lực; phê duyệt giá điều độ vận hành hệ thống điện và giá điều hành giao dịch thị trường điện lực sau khi lấy ý kiến của Bộ Tài chính; phê duyệt khung giá phát điện, khung giá bán buôn điện, giá truyền tải điện, giá phân phối điện và giá dịch vụ phụ trợ hệ thống điện, trừ trường hợp quy định tại khoản 2 Điều 62 của Luật Điện lực; kiểm tra hợp đồng mua bán điện có thời hạn giữa đơn vị phát điện và đơn vị mua điện, hợp đồng mua bán buôn điện có thời hạn theo quy định của Chính phủ;”</w:t>
      </w:r>
    </w:p>
    <w:p w14:paraId="65049427"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điểm g như sau:</w:t>
      </w:r>
    </w:p>
    <w:p w14:paraId="7BB475EE"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công tác quản lý nhà nước đối với hoạt động chỉ huy điều hành hệ thống sản xuất, truyền tải, phân phối và phân bổ điện năng trong hệ thống điện quốc gia, điều hành giao dịch thị trường điện”.</w:t>
      </w:r>
    </w:p>
    <w:p w14:paraId="551D1C87"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bãi bỏ một số điều của Điều lệ tổ chức và hoạt động của Tập đoàn Điện lực Việt Nam ban hành kèm theo Nghị định số 26/2018/NĐ-CP ngày 28 tháng 02 năm 2018 của Chính phủ</w:t>
      </w:r>
    </w:p>
    <w:p w14:paraId="58DC44A1"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điểm a khoản 2 Điều 4 như sau:</w:t>
      </w:r>
    </w:p>
    <w:p w14:paraId="1541A94F"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kinh doanh chính:</w:t>
      </w:r>
    </w:p>
    <w:p w14:paraId="130906DB"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truyền tải, phân phối (bao gồm điều độ hệ thống điện phân phối) và kinh doanh mua bán điện năng;</w:t>
      </w:r>
    </w:p>
    <w:p w14:paraId="5C58BA27"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nhập khẩu điện năng;</w:t>
      </w:r>
    </w:p>
    <w:p w14:paraId="52EA45A8"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và quản lý vốn đầu tư các dự án điện;</w:t>
      </w:r>
    </w:p>
    <w:p w14:paraId="007F0F8F"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vận hành, sửa chữa, bảo dưỡng, đại tu, cải tạo, nâng cấp thiết bị điện, cơ khí, điều khiển, tự động hóa thuộc dây chuyền sản xuất, truyền tải và phân phối điện, công trình điện; thí nghiệm điện;</w:t>
      </w:r>
    </w:p>
    <w:p w14:paraId="2584860A"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quản lý dự án, tư vấn khảo sát thiết kế, tư vấn lập dự án đầu tư, tư vấn đấu thầu, lập dự toán, tư vấn thẩm tra và giám sát thi công công trình nguồn điện, các công trình đường dây và trạm biến áp.”</w:t>
      </w:r>
    </w:p>
    <w:p w14:paraId="68170419"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điểm i khoản 4 Điều 10 như sau:</w:t>
      </w:r>
    </w:p>
    <w:p w14:paraId="56052FF3"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Làm đầu mối tập hợp các nguồn lực của các doanh nghiệp thành viên, doanh nghiệp liên kết để thực hiện đấu thầu và triển khai thực hiện các dự án chung do các công ty con, công ty liên kết cùng thỏa thuận và thực hiện, cụ thể:</w:t>
      </w:r>
    </w:p>
    <w:p w14:paraId="200D5EFC"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các Tổng công ty Phát điện và Tổng công ty Truyền tải điện Quốc gia triển khai đầu tư, quản lý các dự án nguồn điện, lưới điện truyền tải theo Quy hoạch phát triển điện lực quốc gia đã được Thủ tướng Chính phủ phê duyệt và các dự án đầu tư khác; phối hợp thực hiện sản xuất, kinh doanh điện năng và tham gia thị trường phát điện cạnh tranh;</w:t>
      </w:r>
    </w:p>
    <w:p w14:paraId="3C01BDFE"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các Tổng công ty Điện lực phối hợp thực hiện phát triển hệ thống phân phối điện thông minh, kinh doanh điện năng, tự động hóa, điều khiển và thúc đẩy phát triển thị trường bán buôn điện cạnh tranh và thị trường bán lẻ điện cạnh tranh;</w:t>
      </w:r>
    </w:p>
    <w:p w14:paraId="29E287F3"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các công ty con là các công ty tư vấn xây dựng điện, chế tạo thiết bị điện, xây lắp điện tổ chức tư vấn, sản xuất, chế tạo, xây lắp và kinh doanh các sản phẩm, công trình điện;</w:t>
      </w:r>
    </w:p>
    <w:p w14:paraId="72864479"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thực hiện các biện pháp quản lý, vận hành hệ thống điện thuộc phạm vi quản lý theo quy định của pháp luật nhằm đảm bảo an ninh và an toàn hệ thống điện quốc gia; quản lý hệ thống điện, hệ thống thông tin nội bộ và hệ thống công nghệ thông tin phục vụ sản xuất, kinh doanh điện năng và thị trường điện thuộc phạm vi quản lý”.</w:t>
      </w:r>
    </w:p>
    <w:p w14:paraId="23FDD5F0"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1 Điều 18 như sau:</w:t>
      </w:r>
    </w:p>
    <w:p w14:paraId="5C0514F4"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Kinh doanh đúng ngành, nghề đã đăng ký; đảm bảo chất lượng sản phẩm và dịch vụ do EVN thực hiện theo tiêu chuẩn đã đăng ký. Tuân thủ phương thức vận hành, lệnh chỉ huy, điều khiển của đơn vị điều độ hệ thống điện quốc gia theo quy định của pháp luật. Thực hiện thanh toán tiền điện và các nghĩa vụ khác theo quy định của Hợp đồng mua bán điện."</w:t>
      </w:r>
    </w:p>
    <w:p w14:paraId="4A01BA65"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điểm 2 mục II Phụ lục kèm theo Điều lệ tổ chức và hoạt động của Tập đoàn Điện lực Việt Nam tại Nghị định số 26/2018/NĐ-CP ngày 28 tháng 02 năm 2018 của Chính phủ.</w:t>
      </w:r>
    </w:p>
    <w:p w14:paraId="3F5881CB"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41781F10"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8 năm 2024.</w:t>
      </w:r>
    </w:p>
    <w:p w14:paraId="384C8C3E"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làm thay đổi nghĩa vụ trong Hợp đồng BOT giữa chủ đầu tư các dự án điện và phía Việt Nam.</w:t>
      </w:r>
    </w:p>
    <w:p w14:paraId="6BAD01C9" w14:textId="77777777" w:rsidR="00114CA1" w:rsidRDefault="00114CA1" w:rsidP="00114C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Các Bộ trưởng, Thủ trưởng cơ quan ngang bộ, Thủ trưởng cơ quan thuộc Chính phủ, Chủ tịch Ủy ban nhân dân tỉnh, thành phố trực thuộc trung ương, Chủ tịch Hội đồng thành viên, Tổng Giám </w:t>
      </w:r>
      <w:r>
        <w:rPr>
          <w:rFonts w:ascii="Arial" w:hAnsi="Arial" w:cs="Arial"/>
          <w:color w:val="000000"/>
          <w:sz w:val="21"/>
          <w:szCs w:val="21"/>
        </w:rPr>
        <w:lastRenderedPageBreak/>
        <w:t>đốc Tập đoàn Điện lực Việt Nam và các cơ quan, đơn vị có liên quan chịu trách nhiệm thi hành Nghị định này./.</w:t>
      </w:r>
    </w:p>
    <w:p w14:paraId="672A5EFF" w14:textId="77777777" w:rsidR="00114CA1" w:rsidRDefault="00114CA1" w:rsidP="00114CA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3"/>
        <w:gridCol w:w="4251"/>
      </w:tblGrid>
      <w:tr w:rsidR="00114CA1" w14:paraId="57E2DE87" w14:textId="77777777" w:rsidTr="00114CA1">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B5AE4" w14:textId="77777777" w:rsidR="00114CA1" w:rsidRDefault="00114CA1" w:rsidP="00114C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Ủy ban Quản lý vốn nhà nước tại doanh nghiệp;</w:t>
            </w:r>
            <w:r>
              <w:rPr>
                <w:rFonts w:ascii="Arial" w:hAnsi="Arial" w:cs="Arial"/>
                <w:color w:val="000000"/>
                <w:sz w:val="21"/>
                <w:szCs w:val="21"/>
              </w:rPr>
              <w:br/>
              <w:t>- Tập đoàn Điện lực Việt Nam;</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(2b).</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AB925" w14:textId="77777777" w:rsidR="00114CA1" w:rsidRDefault="00114C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Lưu Quang</w:t>
            </w:r>
          </w:p>
          <w:p w14:paraId="020D6B87" w14:textId="77777777" w:rsidR="00114CA1" w:rsidRDefault="00114CA1">
            <w:pPr>
              <w:pStyle w:val="NormalWeb"/>
              <w:spacing w:after="90" w:afterAutospacing="0" w:line="345" w:lineRule="atLeast"/>
              <w:jc w:val="center"/>
              <w:rPr>
                <w:rFonts w:ascii="Arial" w:hAnsi="Arial" w:cs="Arial"/>
                <w:color w:val="000000"/>
                <w:sz w:val="21"/>
                <w:szCs w:val="21"/>
              </w:rPr>
            </w:pPr>
          </w:p>
        </w:tc>
      </w:tr>
    </w:tbl>
    <w:p w14:paraId="29E29492" w14:textId="05D6EAAD" w:rsidR="008100A5" w:rsidRPr="00114CA1" w:rsidRDefault="008100A5" w:rsidP="00114CA1"/>
    <w:sectPr w:rsidR="008100A5" w:rsidRPr="00114CA1"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0BC28" w14:textId="77777777" w:rsidR="0033788B" w:rsidRDefault="0033788B">
      <w:r>
        <w:separator/>
      </w:r>
    </w:p>
  </w:endnote>
  <w:endnote w:type="continuationSeparator" w:id="0">
    <w:p w14:paraId="5C0667CD" w14:textId="77777777" w:rsidR="0033788B" w:rsidRDefault="0033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498E8" w14:textId="77777777" w:rsidR="0033788B" w:rsidRDefault="0033788B">
      <w:r>
        <w:separator/>
      </w:r>
    </w:p>
  </w:footnote>
  <w:footnote w:type="continuationSeparator" w:id="0">
    <w:p w14:paraId="19652462" w14:textId="77777777" w:rsidR="0033788B" w:rsidRDefault="0033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3788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ien-luc-nam-2004.aspx" TargetMode="External"/><Relationship Id="rId13" Type="http://schemas.openxmlformats.org/officeDocument/2006/relationships/hyperlink" Target="https://admin.luatminhkhue.vn/van-ban/luat-quan-ly-su-dung-von-nha-nuoc-dau-tu-vao-san-xuat-kinh-doanh-tai-doanh-nghiep-nam-2014.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luat-to-chuc-chinh-phu-va-luat-to-chuc-chinh-quyen-dia-phuong-sua-doi-nam-2019.aspx" TargetMode="External"/><Relationship Id="rId12" Type="http://schemas.openxmlformats.org/officeDocument/2006/relationships/hyperlink" Target="https://admin.luatminhkhue.vn/van-ban/luat-doanh-nghiep-nam-2020.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van-ban/luat-to-chuc-chinh-phu-nam-2015.aspx" TargetMode="External"/><Relationship Id="rId11" Type="http://schemas.openxmlformats.org/officeDocument/2006/relationships/hyperlink" Target="https://admin.luatminhkhue.vn/van-ban/luat-so-03-2022-qh15.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van-ban/luat-sua-doi-bo-sung-mot-so-dieu-cua-11-luat-co-lien-quan-den-quy-hoach-2018.aspx" TargetMode="External"/><Relationship Id="rId4" Type="http://schemas.openxmlformats.org/officeDocument/2006/relationships/footnotes" Target="footnotes.xml"/><Relationship Id="rId9" Type="http://schemas.openxmlformats.org/officeDocument/2006/relationships/hyperlink" Target="https://admin.luatminhkhue.vn/van-ban/luat-dien-luc-sua-doi-bo-sung-nam-2012.aspx" TargetMode="External"/><Relationship Id="rId14" Type="http://schemas.openxmlformats.org/officeDocument/2006/relationships/hyperlink" Target="https://admin.luatminhkhue.vn/van-ban/nghi-dinh-96-2022-nd-cp-co-cau-to-chuc-cua-bo-cong-thu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217</cp:revision>
  <dcterms:created xsi:type="dcterms:W3CDTF">2024-12-02T03:13:00Z</dcterms:created>
  <dcterms:modified xsi:type="dcterms:W3CDTF">2024-12-21T13:22:00Z</dcterms:modified>
</cp:coreProperties>
</file>