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67"/>
        <w:gridCol w:w="5337"/>
      </w:tblGrid>
      <w:tr w:rsidR="00CE4905" w14:paraId="404B5BD2" w14:textId="77777777" w:rsidTr="00CE4905">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A3A0D"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BỘ QUỐC PHÒNG</w:t>
            </w:r>
            <w:r>
              <w:rPr>
                <w:rFonts w:ascii="Arial" w:hAnsi="Arial" w:cs="Arial"/>
                <w:b/>
                <w:bCs/>
                <w:sz w:val="21"/>
                <w:szCs w:val="21"/>
              </w:rPr>
              <w:br/>
            </w:r>
            <w:r>
              <w:rPr>
                <w:rStyle w:val="Strong"/>
                <w:rFonts w:ascii="Arial" w:hAnsi="Arial" w:cs="Arial"/>
                <w:sz w:val="21"/>
                <w:szCs w:val="21"/>
              </w:rPr>
              <w:t>-------</w:t>
            </w:r>
          </w:p>
        </w:tc>
        <w:tc>
          <w:tcPr>
            <w:tcW w:w="6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E7ED"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E4905" w14:paraId="05901B63" w14:textId="77777777" w:rsidTr="00CE4905">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5045" w14:textId="77777777" w:rsidR="00CE4905" w:rsidRDefault="00CE4905">
            <w:pPr>
              <w:pStyle w:val="NormalWeb"/>
              <w:spacing w:after="90" w:afterAutospacing="0" w:line="345" w:lineRule="atLeast"/>
              <w:jc w:val="center"/>
              <w:rPr>
                <w:rFonts w:ascii="Arial" w:hAnsi="Arial" w:cs="Arial"/>
                <w:sz w:val="21"/>
                <w:szCs w:val="21"/>
              </w:rPr>
            </w:pPr>
            <w:r>
              <w:rPr>
                <w:rFonts w:ascii="Arial" w:hAnsi="Arial" w:cs="Arial"/>
                <w:sz w:val="21"/>
                <w:szCs w:val="21"/>
              </w:rPr>
              <w:t>Số: 212/2013/TTLT-BTC-BQP</w:t>
            </w:r>
          </w:p>
        </w:tc>
        <w:tc>
          <w:tcPr>
            <w:tcW w:w="6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A3DC3" w14:textId="77777777" w:rsidR="00CE4905" w:rsidRDefault="00CE490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30 tháng 12 năm 2013</w:t>
            </w:r>
          </w:p>
        </w:tc>
      </w:tr>
    </w:tbl>
    <w:p w14:paraId="04776BA0" w14:textId="77777777" w:rsidR="00CE4905" w:rsidRDefault="00CE4905" w:rsidP="00CE4905">
      <w:pPr>
        <w:pStyle w:val="NormalWeb"/>
        <w:spacing w:after="90" w:afterAutospacing="0" w:line="345" w:lineRule="atLeast"/>
        <w:jc w:val="both"/>
        <w:rPr>
          <w:rFonts w:ascii="Arial" w:hAnsi="Arial" w:cs="Arial"/>
        </w:rPr>
      </w:pPr>
    </w:p>
    <w:p w14:paraId="7468979D" w14:textId="77777777" w:rsidR="00CE4905" w:rsidRDefault="00CE4905" w:rsidP="00CE4905">
      <w:pPr>
        <w:pStyle w:val="NormalWeb"/>
        <w:spacing w:after="90" w:afterAutospacing="0" w:line="345" w:lineRule="atLeast"/>
        <w:jc w:val="center"/>
        <w:rPr>
          <w:rFonts w:ascii="Arial" w:hAnsi="Arial" w:cs="Arial"/>
        </w:rPr>
      </w:pPr>
      <w:r>
        <w:rPr>
          <w:rStyle w:val="Strong"/>
          <w:rFonts w:ascii="Arial" w:hAnsi="Arial" w:cs="Arial"/>
          <w:sz w:val="21"/>
          <w:szCs w:val="21"/>
        </w:rPr>
        <w:t>THÔNG TƯ LIÊN TỊCH</w:t>
      </w:r>
    </w:p>
    <w:p w14:paraId="6B8D4E9B" w14:textId="77777777" w:rsidR="00CE4905" w:rsidRDefault="00CE4905" w:rsidP="00CE4905">
      <w:pPr>
        <w:pStyle w:val="NormalWeb"/>
        <w:spacing w:after="90" w:afterAutospacing="0" w:line="345" w:lineRule="atLeast"/>
        <w:jc w:val="center"/>
        <w:rPr>
          <w:rFonts w:ascii="Arial" w:hAnsi="Arial" w:cs="Arial"/>
        </w:rPr>
      </w:pPr>
      <w:r>
        <w:rPr>
          <w:rFonts w:ascii="Arial" w:hAnsi="Arial" w:cs="Arial"/>
        </w:rPr>
        <w:t>HƯỚNG DẪN VỀ VIỆC THU NỘP THUẾ THU NHẬP CÁ NHÂN ĐỐI VỚI SỸ QUAN, QUÂN NHÂN CHUYÊN NGHIỆP, CÁN BỘ, CÔNG CHỨC, VIÊN CHỨC VÀ NHÂN VIÊN HƯỞNG LƯƠNG THUỘC BỘ QUỐC PHÒNG</w:t>
      </w:r>
    </w:p>
    <w:p w14:paraId="270D71CB"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4" w:history="1">
        <w:r>
          <w:rPr>
            <w:rStyle w:val="Hyperlink"/>
            <w:rFonts w:ascii="Arial" w:hAnsi="Arial" w:cs="Arial"/>
            <w:i/>
            <w:iCs/>
            <w:color w:val="135ECD"/>
            <w:sz w:val="21"/>
            <w:szCs w:val="21"/>
          </w:rPr>
          <w:t>Luật Quản lý thuế</w:t>
        </w:r>
      </w:hyperlink>
      <w:r>
        <w:rPr>
          <w:rStyle w:val="Emphasis"/>
          <w:rFonts w:ascii="Arial" w:hAnsi="Arial" w:cs="Arial"/>
          <w:sz w:val="21"/>
          <w:szCs w:val="21"/>
        </w:rPr>
        <w:t> số 78/2006/QH11 ngày 29 tháng 11 năm 2006;</w:t>
      </w:r>
    </w:p>
    <w:p w14:paraId="49D3385C"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Luật Thuế thu nhập cá nhân</w:t>
        </w:r>
      </w:hyperlink>
      <w:r>
        <w:rPr>
          <w:rStyle w:val="Emphasis"/>
          <w:rFonts w:ascii="Arial" w:hAnsi="Arial" w:cs="Arial"/>
          <w:sz w:val="21"/>
          <w:szCs w:val="21"/>
        </w:rPr>
        <w:t> số 04/2007/QH12 ngày 21 tháng 11 năm 2007;</w:t>
      </w:r>
    </w:p>
    <w:p w14:paraId="4726036E"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sz w:val="21"/>
          <w:szCs w:val="21"/>
        </w:rPr>
        <w:t> số 21/2012/QH13 ngày 20 tháng 11 năm 2012;</w:t>
      </w:r>
    </w:p>
    <w:p w14:paraId="185E5CEB"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sửa đổi, bổ sung một số điều của Luật Thuế thu nhập cá nhân</w:t>
        </w:r>
      </w:hyperlink>
      <w:r>
        <w:rPr>
          <w:rStyle w:val="Emphasis"/>
          <w:rFonts w:ascii="Arial" w:hAnsi="Arial" w:cs="Arial"/>
          <w:sz w:val="21"/>
          <w:szCs w:val="21"/>
        </w:rPr>
        <w:t> số 26/2012/QH13 ngày 22 tháng 11 năm 2012;</w:t>
      </w:r>
    </w:p>
    <w:p w14:paraId="771F618F"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83/2013/NĐ-CP</w:t>
        </w:r>
      </w:hyperlink>
      <w:r>
        <w:rPr>
          <w:rStyle w:val="Emphasis"/>
          <w:rFonts w:ascii="Arial" w:hAnsi="Arial" w:cs="Arial"/>
          <w:sz w:val="21"/>
          <w:szCs w:val="21"/>
        </w:rPr>
        <w:t> ngày 22 tháng 7 năm 2013 của Chính phủ quy định chi tiết một số điều của Luật Quản lý thuế và Luật sửa đổi, bổ sung một số điều của Luật Quản lý thuế;</w:t>
      </w:r>
    </w:p>
    <w:p w14:paraId="09EEA204"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9" w:history="1">
        <w:r>
          <w:rPr>
            <w:rStyle w:val="Hyperlink"/>
            <w:rFonts w:ascii="Arial" w:hAnsi="Arial" w:cs="Arial"/>
            <w:i/>
            <w:iCs/>
            <w:color w:val="135ECD"/>
            <w:sz w:val="21"/>
            <w:szCs w:val="21"/>
          </w:rPr>
          <w:t>65/2013/NĐ-CP</w:t>
        </w:r>
      </w:hyperlink>
      <w:r>
        <w:rPr>
          <w:rStyle w:val="Emphasis"/>
          <w:rFonts w:ascii="Arial" w:hAnsi="Arial" w:cs="Arial"/>
          <w:sz w:val="21"/>
          <w:szCs w:val="21"/>
        </w:rPr>
        <w:t> ngày 27 tháng 6 năm 2013 của Chính phủ quy định chi tiết một số điều của Luật Thuế thu nhập cá nhân và Luật sửa đổi, bổ sung một số điều của Luật Thuế thu nhập cá nhân;</w:t>
      </w:r>
    </w:p>
    <w:p w14:paraId="22CA18B2"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0" w:history="1">
        <w:r>
          <w:rPr>
            <w:rStyle w:val="Hyperlink"/>
            <w:rFonts w:ascii="Arial" w:hAnsi="Arial" w:cs="Arial"/>
            <w:i/>
            <w:iCs/>
            <w:color w:val="135ECD"/>
            <w:sz w:val="21"/>
            <w:szCs w:val="21"/>
          </w:rPr>
          <w:t>118/2008/NĐ-CP</w:t>
        </w:r>
      </w:hyperlink>
      <w:r>
        <w:rPr>
          <w:rStyle w:val="Emphasis"/>
          <w:rFonts w:ascii="Arial" w:hAnsi="Arial" w:cs="Arial"/>
          <w:sz w:val="21"/>
          <w:szCs w:val="21"/>
        </w:rPr>
        <w:t> ngày 27 tháng 11 năm 2008 của Chính phủ quy định chức năng, nhiệm vụ, quyền hạn và cơ cấu tổ chức của Bộ Tài chính;</w:t>
      </w:r>
    </w:p>
    <w:p w14:paraId="3E2222B5"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35/2013/NĐ-CP ngày 22 tháng 4 năm 2013 của Chính phủ quy định chức năng, nhiệm vụ, quyền hạn và cơ cấu tổ chức của Bộ Quốc phòng;</w:t>
      </w:r>
    </w:p>
    <w:p w14:paraId="3E9A3C84"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1" w:history="1">
        <w:r>
          <w:rPr>
            <w:rStyle w:val="Hyperlink"/>
            <w:rFonts w:ascii="Arial" w:hAnsi="Arial" w:cs="Arial"/>
            <w:i/>
            <w:iCs/>
            <w:color w:val="135ECD"/>
            <w:sz w:val="21"/>
            <w:szCs w:val="21"/>
          </w:rPr>
          <w:t>204/2004/NĐ-CP</w:t>
        </w:r>
      </w:hyperlink>
      <w:r>
        <w:rPr>
          <w:rStyle w:val="Emphasis"/>
          <w:rFonts w:ascii="Arial" w:hAnsi="Arial" w:cs="Arial"/>
          <w:sz w:val="21"/>
          <w:szCs w:val="21"/>
        </w:rPr>
        <w:t> ngày 14 tháng 12 năm 2004 của Chính phủ về chế độ tiền lương đối với cán bộ, công chức, viên chức và lực lượng vũ trang và Nghị định số </w:t>
      </w:r>
      <w:hyperlink r:id="rId12" w:history="1">
        <w:r>
          <w:rPr>
            <w:rStyle w:val="Hyperlink"/>
            <w:rFonts w:ascii="Arial" w:hAnsi="Arial" w:cs="Arial"/>
            <w:i/>
            <w:iCs/>
            <w:color w:val="135ECD"/>
            <w:sz w:val="21"/>
            <w:szCs w:val="21"/>
          </w:rPr>
          <w:t>17/2013/NĐ-CP</w:t>
        </w:r>
      </w:hyperlink>
      <w:r>
        <w:rPr>
          <w:rStyle w:val="Emphasis"/>
          <w:rFonts w:ascii="Arial" w:hAnsi="Arial" w:cs="Arial"/>
          <w:sz w:val="21"/>
          <w:szCs w:val="21"/>
        </w:rPr>
        <w:t>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3E1067B9" w14:textId="77777777" w:rsidR="00CE4905" w:rsidRDefault="00CE4905" w:rsidP="00CE4905">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Bộ trưởng Bộ Tài chính, Bộ trưởng Bộ Quốc phòng ban hành thông tư liên tịch hướng dẫn về việc thu nộp thuế thu nhập cá nhân đối với sỹ quan, quân nhân chuyên nghiệp, cán bộ, công chức, viên chức và nhân viên hưởng lương thuộc Bộ Quốc phòng như sau:</w:t>
      </w:r>
    </w:p>
    <w:p w14:paraId="166800E5"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Điều 1. Phạm vi và đối tượng áp dụng</w:t>
      </w:r>
    </w:p>
    <w:p w14:paraId="2EF71F1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1. Thông tư này hướng dẫn việc thu và nộp thuế thu nhập cá nhân đối với các đối tượng hưởng lương là sỹ quan, quân nhân chuyên nghiệp, cá nhân hưởng lương hàm cơ yếu, chuyên môn kỹ thuật cơ yếu, công chức, viên chức, lao động hợp đồng trong các cơ quan, đơn vị thuộc Bộ Quốc phòng (dưới đây gọi chung là người nộp thuế) có thu nhập từ tiền lương, tiền công và các khoản thu nhập có tính chất tiền lương, tiền công dưới các hình thức bằng tiền hoặc không bằng tiền nhận được từ các cơ quan, đơn vị thuộc Bộ Quốc phòng (dưới đây gọi chung là tổ chức trả thu nhập).</w:t>
      </w:r>
    </w:p>
    <w:p w14:paraId="5971982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2. Cá nhân làm công tác cơ yếu công tác tại các Bộ, ngành, cơ quan của Đảng và các địa phương thực hiện nghĩa vụ thuế thu nhập cá nhân theo hướng dẫn tại Thông tư số 111/2013/TT-BTC ngày 15/8/2013 của Bộ Tài chính hướng dẫn thực hiện Luật Thuế thu nhập cá nhân, Luật sửa đổi, bổ sung một số điều của Luật thuế thu nhập cá nhân và Nghị định số 65/NĐ-CP ngày 27/6/2013 của Chính phủ quy định chi tiết thi hành Luật Thuế thu nhập cá nhân và Luật sửa đổi, bổ sung một số điều của Luật thuế thu nhập cá nhân (dưới đây gọi chung là Thông tư số 111/2013/TT-BTC ngày 15/8/2013 của Bộ Tài chính). Riêng các khoản phụ cấp, trợ cấp không tính vào thu nhập chịu thuế thực hiện theo hướng dẫn tại điểm b, khoản 2, Điều 2, Thông tư này.</w:t>
      </w:r>
    </w:p>
    <w:p w14:paraId="75E6798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3. Thông tư này không áp dụng đối với cá nhân hướng dẫn tại khoản 1, Điều này có các khoản thu nhập chịu thuế khác (ngoài thu nhập từ tiền lương, tiền công hướng dẫn tại Điều 2 Thông tư này). Việc khai, nộp thuế đối với các khoản thu nhập chịu thuế khác thực hiện theo hướng dẫn tại Thông tư số 111/2013/TT-BTC ngày 15/8/2013 của Bộ Tài chính.</w:t>
      </w:r>
    </w:p>
    <w:p w14:paraId="25D18285"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Điều 2. Thu nhập chịu thuế và không chịu thuế từ tiền lương, tiền công</w:t>
      </w:r>
    </w:p>
    <w:p w14:paraId="7188E4A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Thu nhập chịu thuế từ tiền lương, tiền công gồm:</w:t>
      </w:r>
    </w:p>
    <w:p w14:paraId="2BB7FD2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1. Tiền lương, tiền công và các khoản có tính chất tiền lương, tiền công nhận được dưới các hình thức bằng tiền hoặc không bằng tiền theo quyết định tuyển dụng, quyết định nâng lương, bổ nhiệm, nâng ngạch, chuyển ngạch; phong, thăng quân hàm hoặc ghi trong hợp đồng lao động, thỏa ước lao động tập thể.</w:t>
      </w:r>
    </w:p>
    <w:p w14:paraId="4C77CD5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2. Các khoản phụ cấp, trợ cấp kể cả sinh hoạt phí mà người nộp thuế nhận được trừ các khoản phụ cấp, trợ cấp sau:</w:t>
      </w:r>
    </w:p>
    <w:p w14:paraId="2B0E167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Các khoản phụ cấp, trợ cấp đặc thù quốc phòng:</w:t>
      </w:r>
    </w:p>
    <w:p w14:paraId="5681B1F8"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a.1) Phụ cấp đặc biệt;</w:t>
      </w:r>
    </w:p>
    <w:p w14:paraId="48955AE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a.2) Phụ cấp thâm niên nghề;</w:t>
      </w:r>
    </w:p>
    <w:p w14:paraId="24CD014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a.3) Phụ cấp phục vụ Quốc phòng - An ninh đối với công nhân viên chức quốc phòng;</w:t>
      </w:r>
    </w:p>
    <w:p w14:paraId="67B78EF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a.4) Trợ cấp đối với cán bộ chiến sỹ khi nghỉ hưu, chuyển ngành, hy sinh, từ trần theo quy định của pháp luật;</w:t>
      </w:r>
    </w:p>
    <w:p w14:paraId="07F5333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a.5) Trợ cấp thôi việc, xuất ngũ, phục viên; trợ cấp tạo việc làm sau xuất ngũ phục viên;</w:t>
      </w:r>
    </w:p>
    <w:p w14:paraId="64BB6EE5"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a.6) Phụ cấp kiêm nhiệm chức danh lãnh đạo;</w:t>
      </w:r>
    </w:p>
    <w:p w14:paraId="059A28D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a.7) Phụ cấp đặc thù quân sự đối với một số đối tượng trong quân đội gồm:</w:t>
      </w:r>
    </w:p>
    <w:p w14:paraId="061CF42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Phòng không - Không quân;</w:t>
      </w:r>
    </w:p>
    <w:p w14:paraId="1FCE68C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Bộ đội Biên phòng;</w:t>
      </w:r>
    </w:p>
    <w:p w14:paraId="4C96B5D8"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trực tiếp tham gia các đội công tác tăng cường cơ sở địa bàn Tây Nguyên, Tây Nam Bộ, Tây Bắc và các tỉnh biên giới Việt - Lào;</w:t>
      </w:r>
    </w:p>
    <w:p w14:paraId="4CCAFC9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cán bộ chiến sỹ bảo vệ Lăng Chủ tịch Hồ Chí Minh, Nghi lễ;</w:t>
      </w:r>
    </w:p>
    <w:p w14:paraId="224997AF"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Pháo binh;</w:t>
      </w:r>
    </w:p>
    <w:p w14:paraId="7C4CD21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Tăng thiết giáp;</w:t>
      </w:r>
    </w:p>
    <w:p w14:paraId="2A249B1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Đặc công;</w:t>
      </w:r>
    </w:p>
    <w:p w14:paraId="595DA56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Công binh;</w:t>
      </w:r>
    </w:p>
    <w:p w14:paraId="78A0470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Hóa học;</w:t>
      </w:r>
    </w:p>
    <w:p w14:paraId="37D197C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Thông tin;</w:t>
      </w:r>
    </w:p>
    <w:p w14:paraId="7EB7BA9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Hậu cần quân sự;</w:t>
      </w:r>
    </w:p>
    <w:p w14:paraId="697D9615"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Vũ khí, đạn dược quân sự;</w:t>
      </w:r>
    </w:p>
    <w:p w14:paraId="11F3871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Hải quân, Cảnh sát biển;</w:t>
      </w:r>
    </w:p>
    <w:p w14:paraId="469125B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bộ đội tàu ngầm P thuộc quân chủng Hải quân;</w:t>
      </w:r>
    </w:p>
    <w:p w14:paraId="49609A1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ngày đi biển của Quân chủng Hải quân;</w:t>
      </w:r>
    </w:p>
    <w:p w14:paraId="1A0488E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 Phụ cấp đối với lực lượng biên chế trên tàu Hải quân;</w:t>
      </w:r>
    </w:p>
    <w:p w14:paraId="3B04B4E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thi hành án hình sự, quản lý thi hành án hình sự và công tác tại trại giam, nhà tạm giữ trong quân đội;</w:t>
      </w:r>
    </w:p>
    <w:p w14:paraId="3E9CB12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một số chức danh tư pháp và thanh tra trong Quân đội;</w:t>
      </w:r>
    </w:p>
    <w:p w14:paraId="1C43DCB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chống khủng bố chuyên trách thuộc Bộ Quốc phòng;</w:t>
      </w:r>
    </w:p>
    <w:p w14:paraId="7277F66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quân nhân, công nhân viên Quốc phòng làm nhiệm vụ báo vụ trong quân đội;</w:t>
      </w:r>
    </w:p>
    <w:p w14:paraId="7F34D30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làm nhiệm vụ C;</w:t>
      </w:r>
    </w:p>
    <w:p w14:paraId="2890153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Trợ cấp một lần đối với quân nhân, công nhân viên quốc phòng thôi phục vụ tại ngũ;</w:t>
      </w:r>
    </w:p>
    <w:p w14:paraId="3A8A09C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sỹ quan, quân nhân chuyên nghiệp, công chức, viên chức, nhân viên quốc phòng làm nhiệm vụ tại căn cứ quân sự Cam Ranh;</w:t>
      </w:r>
    </w:p>
    <w:p w14:paraId="5CA6501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đối với lực lượng tàu ngầm cấp chiến dịch;</w:t>
      </w:r>
    </w:p>
    <w:p w14:paraId="735A732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Phụ cấp, trợ cấp đối với lực lượng Không quân Hải quân;</w:t>
      </w:r>
    </w:p>
    <w:p w14:paraId="70010E0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Trợ cấp đối với sỹ quan, quân nhân chuyên nghiệp, công chức, viên chức, nhân viên quốc phòng trực tiếp rà phá bom mìn, vật liệu nổ;</w:t>
      </w:r>
    </w:p>
    <w:p w14:paraId="7384722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a.8) Các khoản phụ cấp quân sự khác theo quy định của pháp luật.</w:t>
      </w:r>
    </w:p>
    <w:p w14:paraId="3B1CC20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Phụ cấp đặc thù ngành Cơ yếu gồm:</w:t>
      </w:r>
    </w:p>
    <w:p w14:paraId="594D2BE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Phụ cấp thâm niên nghề cơ yếu; phụ cấp phục vụ quốc phòng, an ninh đối với người làm công tác khác trong tổ chức cơ yếu; phụ cấp trách nhiệm công việc bảo vệ cơ mật, mật mã; phụ cấp trách nhiệm công việc cơ yếu khác; các khoản phụ cấp đặc thù an ninh, quân sự khác trong ngành cơ yếu (nếu có).</w:t>
      </w:r>
    </w:p>
    <w:p w14:paraId="0099820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 Các khoản phụ cấp, trợ cấp được trừ theo quy định của pháp luật về thuế thu nhập cá nhân:</w:t>
      </w:r>
    </w:p>
    <w:p w14:paraId="1C1E02D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c.1) Trợ cấp, phụ cấp ưu đãi hàng tháng và trợ cấp một lần theo quy định của pháp luật về ưu đãi người có công;</w:t>
      </w:r>
    </w:p>
    <w:p w14:paraId="4660943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c.2) Phụ cấp độc hại, nguy hiểm đối với những ngành, nghề hoặc công việc ở nơi làm việc có yếu tố độc hại, nguy hiểm;</w:t>
      </w:r>
    </w:p>
    <w:p w14:paraId="0223666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c.3) Phụ cấp thu hút, phụ cấp khu vực;</w:t>
      </w:r>
    </w:p>
    <w:p w14:paraId="231C39D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c.4) Trợ cấp khó khăn đột xuất, trợ cấp tai nạn lao động, bệnh nghề nghiệp, trợ cấp một lần khi sinh con hoặc nhận nuôi con nuôi, mức hưởng chế độ thai sản, mức hưởng dưỡng sức, phục hồi sức khoẻ sau thai sản, trợ cấp do suy giảm khả năng lao động, trợ cấp hưu trí một lần, tiền tuất hàng tháng, trợ cấp mất việc làm, trợ cấp thất nghiệp và các khoản trợ cấp khác theo quy định của Bộ luật Lao động và Luật Bảo hiểm xã hội;</w:t>
      </w:r>
    </w:p>
    <w:p w14:paraId="0CE2A37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c.5) Trợ cấp đối với các đối tượng được bảo trợ xã hội theo quy định của pháp luật;</w:t>
      </w:r>
    </w:p>
    <w:p w14:paraId="6DA651A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c.6) Phụ cấp phục vụ đối với lãnh đạo cấp cao;</w:t>
      </w:r>
    </w:p>
    <w:p w14:paraId="2097D88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c.7)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w:t>
      </w:r>
    </w:p>
    <w:p w14:paraId="7C597625"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Các khoản phụ cấp, trợ cấp và mức phụ cấp, trợ cấp không tính vào thu nhập chịu thuế hướng dẫn tại khoản 2, Điều này phải được cơ quan Nhà nước có thẩm quyền quy định. Trường hợp khoản phụ cấp, trợ cấp nhận được cao hơn mức phụ cấp, trợ cấp theo hướng dẫn nêu trên thì phần vượt phải tính vào thu nhập chịu thuế.</w:t>
      </w:r>
    </w:p>
    <w:p w14:paraId="0F166CD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3. Các khoản thưởng bằng tiền hoặc không bằng tiền dưới mọi hình thức trừ các khoản tiền thưởng sau đây:</w:t>
      </w:r>
    </w:p>
    <w:p w14:paraId="6A5B4B3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Tiền thưởng kèm theo các danh hiệu được Nhà nước phong tặng bao gồm cả tiền thưởng kèm theo các danh hiệu thi đua, các hình thức khen thưởng theo quy định của pháp luật về thi đua khen thưởng, cụ thể:</w:t>
      </w:r>
    </w:p>
    <w:p w14:paraId="4B60D97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Tiền thưởng kèm theo các danh hiệu thi đua như Chiến sỹ thi đua toàn quốc; Chiến sỹ thi đua cấp Bộ, ngành, đoàn thể Trung ương, tỉnh, thành phố trực thuộc Trung ương; Chiến sỹ thi đua cơ sở, Lao động tiên tiến, Chiến sỹ tiên tiến;</w:t>
      </w:r>
    </w:p>
    <w:p w14:paraId="5D83805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Tiền thưởng kèm theo các hình thức khen thưởng;</w:t>
      </w:r>
    </w:p>
    <w:p w14:paraId="18DEBEA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Tiền thưởng kèm theo các danh hiệu do Nhà nước phong tặng;</w:t>
      </w:r>
    </w:p>
    <w:p w14:paraId="3445DA7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14:paraId="76DB35CF"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Tiền thưởng kèm theo giải thưởng Hồ Chí Minh, giải thưởng Nhà nước;</w:t>
      </w:r>
    </w:p>
    <w:p w14:paraId="52AC4EF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Tiền thưởng kèm theo Kỷ niệm chương, Huy hiệu;</w:t>
      </w:r>
    </w:p>
    <w:p w14:paraId="375D606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 Tiền thưởng kèm theo Bằng khen, Giấy khen.</w:t>
      </w:r>
    </w:p>
    <w:p w14:paraId="1448E62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Thẩm quyền ra quyết định khen thưởng, mức tiền thưởng kèm theo các danh hiệu thi đua, hình thức khen thưởng nêu trên phải phù hợp với quy định của Luật Thi đua khen thưởng.</w:t>
      </w:r>
    </w:p>
    <w:p w14:paraId="4BB2349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 Tiền thưởng kèm theo các giải thưởng quốc gia, giải thưởng quốc tế được nhà nước Việt Nam thừa nhận.</w:t>
      </w:r>
    </w:p>
    <w:p w14:paraId="0E99720F"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 Tiền thưởng về cải tiến kỹ thuật, sáng chế, phát minh được cơ quan nhà nước có thẩm quyền công nhận.</w:t>
      </w:r>
    </w:p>
    <w:p w14:paraId="2FB9691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đ) Tiền thưởng về việc phát hiện, khai báo hành vi vi phạm pháp luật với cơ quan nhà nước có thẩm quyền.</w:t>
      </w:r>
    </w:p>
    <w:p w14:paraId="77006CD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e) Tiền thưởng do có thành tích trong đấu tranh phòng chống tội phạm, bảo vệ an ninh quốc gia; tiền thưởng do có thành tích nghiên cứu khoa học phục vụ bảo vệ an ninh quốc gia, trong phong trào thi đua vì an ninh tổ quốc, phong trào toàn dân bảo vệ an ninh tổ quốc.</w:t>
      </w:r>
    </w:p>
    <w:p w14:paraId="665B7E3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4.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 Tiền nhận được từ tham gia hiệp hội kinh doanh, hội đồng quản trị doanh nghiệp, ban kiểm soát doanh nghiệp, ban quản lý dự án, hội đồng quản lý, các hiệp hội, hội nghề nghiệp và các tổ chức khác.</w:t>
      </w:r>
    </w:p>
    <w:p w14:paraId="5F06F52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Các khoản lợi ích bằng tiền hoặc không bằng tiền ngoài tiền lương, tiền công do người sử dụng lao động trả mà người nộp thuế được hưởng dưới mọi hình thức thực hiện theo hướng dẫn tại điểm đ, khoản 2, Điều 2 Thông tư số 111/2013/TT-BTC ngày 15/8/2013 của Bộ Tài chính.</w:t>
      </w:r>
    </w:p>
    <w:p w14:paraId="28F7B0D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5. Không tính vào thu nhập chịu thuế đối với các khoản sau:</w:t>
      </w:r>
    </w:p>
    <w:p w14:paraId="4147C92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Khoản hỗ trợ của người sử dụng lao động cho việc khám chữa bệnh hiểm nghèo cho bản thân người lao động và thân nhân của người lao động. Thân nhân của người lao động trong trường hợp này bao gồm:</w:t>
      </w:r>
    </w:p>
    <w:p w14:paraId="79FC949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Con đẻ, con nuôi hợp pháp, con ngoài giá thú, con riêng của vợ hoặc chồng;</w:t>
      </w:r>
    </w:p>
    <w:p w14:paraId="69DE34C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Vợ hoặc chồng;</w:t>
      </w:r>
    </w:p>
    <w:p w14:paraId="0C9ADBB5"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 Cha đẻ, mẹ đẻ; cha vợ, mẹ vợ (hoặc cha chồng, mẹ chồng); cha dượng, mẹ kế; cha nuôi, mẹ nuôi hợp pháp.</w:t>
      </w:r>
    </w:p>
    <w:p w14:paraId="2BEB717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a.1) Mức hỗ trợ không tính vào thu nhập chịu thuế là số tiền thực tế trả theo chứng từ trả tiền viện phí nhưng tối đa không quá số tiền trả viện phí của người lao động và thân nhân người lao động sau khi đã trừ số tiền chi trả của tổ chức bảo hiểm.</w:t>
      </w:r>
    </w:p>
    <w:p w14:paraId="026BC8D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a.2)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14:paraId="7C05340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Khoản tiền nhận được theo quy định về sử dụng phương tiện đi lại trong cơ quan Nhà nước, đơn vị sự nghiệp công lập, tổ chức Đảng, đoàn thể.</w:t>
      </w:r>
    </w:p>
    <w:p w14:paraId="6EA8D7E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 Khoản tiền nhận được theo chế độ nhà ở công vụ theo quy định của pháp luật.</w:t>
      </w:r>
    </w:p>
    <w:p w14:paraId="5E701CC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ủy, Tỉnh ủy.</w:t>
      </w:r>
    </w:p>
    <w:p w14:paraId="0E0CC00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e) Khoản tiền ăn giữa ca, ăn trưa do người sử dụng lao động tổ chức bữa ăn giữa ca, ăn trưa cho người lao động dưới các hình thức như trực tiếp nấu ăn, mua suất ăn, cấp phiếu ăn.</w:t>
      </w:r>
    </w:p>
    <w:p w14:paraId="1A2ECBA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14:paraId="104828C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6. Trường hợp tổ chức trả thu nhập từ tiền lương, tiền công cho người nộp thuế không bao gồm thuế thì phải quy đổi thu nhập không bao gồm thuế thành thu nhập tính thuế theo hướng dẫn tại khoản 4, Điều 7 Thông tư số 111/2013/TT-BTC ngày 15/8/2013 của Bộ Tài chính.</w:t>
      </w:r>
    </w:p>
    <w:p w14:paraId="3B5122F9"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 Căn cứ tính thuế</w:t>
      </w:r>
    </w:p>
    <w:p w14:paraId="32B78BA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Căn cứ tính thuế đối với thu nhập từ tiền lương, tiền công và các khoản thu nhập có tính chất tiền lương, tiền công là thu nhập tính thuế và thuế suất.</w:t>
      </w:r>
    </w:p>
    <w:p w14:paraId="4674DC9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1. Thu nhập tính thuế được xác định bằng thu nhập chịu thuế trừ các khoản giảm trừ sau:</w:t>
      </w:r>
    </w:p>
    <w:p w14:paraId="0C4011D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Các khoản đóng góp bảo hiểm bắt buộc như: Bảo hiểm xã hội, bảo hiểm y tế, bảo hiểm thất nghiệp, bảo hiểm trách nhiệm nghề nghiệp đối với một số ngành, nghề phải tham gia bảo hiểm bắt buộc và các khoản bảo hiểm bắt buộc khác theo quy định của pháp luật.</w:t>
      </w:r>
    </w:p>
    <w:p w14:paraId="10F8E4F5"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Các khoản giảm trừ gia cảnh.</w:t>
      </w:r>
    </w:p>
    <w:p w14:paraId="377456E8"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 Các khoản đóng góp vào quỹ từ thiện, quỹ nhân đạo, quỹ khuyến học.</w:t>
      </w:r>
    </w:p>
    <w:p w14:paraId="0536DC3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Cách xác định các khoản được giảm trừ tại khoản 1 Điều này thực hiện theo hướng dẫn tại Điều 9 Thông tư số 111/2013/TT-BTC ngày 15/8/2013 của Bộ Tài chính.</w:t>
      </w:r>
    </w:p>
    <w:p w14:paraId="24AA42C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2. Thuế suất: Thuế suất thuế thu nhập cá nhân đối với thu nhập từ tiền lương tiền công được áp dụng theo Biểu thuế lũy tiến từng phần hướng dẫn tại khoản 2, Điều 7 Thông tư số 111/2013/TT-BTC ngày 15/8/2013 của Bộ Tài chính)</w:t>
      </w:r>
    </w:p>
    <w:p w14:paraId="32D1AE1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3. Cách tính thuế.</w:t>
      </w:r>
    </w:p>
    <w:p w14:paraId="3111106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Thuế thu nhập cá nhân phải nộp từ tiền lương, tiền công là tổng số thuế tính theo từng bậc thu nhập, số thuế tính theo từng bậc thu nhập bằng thu nhập tính thuế của bậc thu nhập nhân (x) với thuế suất tương ứng của bậc thu nhập đó.</w:t>
      </w:r>
    </w:p>
    <w:p w14:paraId="76AF545F"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Điều 4. Giảm thuế</w:t>
      </w:r>
    </w:p>
    <w:p w14:paraId="3F44C49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Theo quy định tại Điều 5 Luật thuế thu nhập cá nhân, Điều 5 Nghị định số 65/2013/NĐ-CP, người nộp thuế gặp khó khăn do thiên tai, hỏa hoạn, tai nạn, bệnh hiểm nghèo ảnh hưởng đến khả năng nộp thuế thì được xét giảm thuế tương ứng với mức độ thiệt hại nhưng không vượt quá số thuế phải nộp. Cụ thể như sau:</w:t>
      </w:r>
    </w:p>
    <w:p w14:paraId="4C37778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1. Xác định số thuế được giảm</w:t>
      </w:r>
    </w:p>
    <w:p w14:paraId="06F059BF"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Việc xét giảm thuế được thực hiện theo năm tính thuế. Người nộp thuế gặp khó khăn do thiên tai, hỏa hoạn, tai nạn, bệnh hiểm nghèo trong năm tính thuế nào thì được xét giảm số thuế phải nộp của năm tính thuế đó.</w:t>
      </w:r>
    </w:p>
    <w:p w14:paraId="4DAFAB9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b) Số thuế phải nộp làm căn cứ xét giảm thuế là tổng số thuế thu nhập cá nhân mà người nộp thuế phải nộp trong năm tính thuế.</w:t>
      </w:r>
    </w:p>
    <w:p w14:paraId="6757547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 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p>
    <w:p w14:paraId="1C5130E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 Số thuế giảm được xác định như sau:</w:t>
      </w:r>
    </w:p>
    <w:p w14:paraId="71CED50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d.1) Trường hợp số thuế phải nộp trong năm tính thuế lớn hơn mức độ thiệt hại thì số thuế giảm bằng mức độ thiệt hại.</w:t>
      </w:r>
    </w:p>
    <w:p w14:paraId="26D0559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d.2) Trường hợp số thuế phải nộp trong năm tính thuế nhỏ hơn mức độ thiệt hại thì số thuế giảm bằng số thuế phải nộp.</w:t>
      </w:r>
    </w:p>
    <w:p w14:paraId="216FBA0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2. Hồ sơ, thủ tục xét giảm thuế thực hiện theo văn bản hướng dẫn về quản lý thuế.</w:t>
      </w:r>
    </w:p>
    <w:p w14:paraId="563F646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3. Thẩm quyền ban hành quyết định giảm thuế</w:t>
      </w:r>
    </w:p>
    <w:p w14:paraId="58FC559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Thủ trưởng cấp trung đoàn và tương đương trở lên, Thủ trưởng các đơn vị đầu mối thuộc Ban Cơ yếu Chính phủ và tương đương trở lên xem xét, ban hành quyết định giảm thuế cho đối tượng được giảm thuế và chịu trách nhiệm với quyết định của mình.</w:t>
      </w:r>
    </w:p>
    <w:p w14:paraId="636C0081"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Điều 5. Đăng ký thuế, khấu trừ thuế, khai thuế, nộp thuế, quyết toán thuế</w:t>
      </w:r>
    </w:p>
    <w:p w14:paraId="415C4AB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Việc đăng ký, khấu trừ thuế, khai thuế, nộp thuế và quyết toán thuế thu nhập cá nhân đối với thu nhập từ tiền lương, tiền công của người nộp thuế thuộc Bộ Quốc phòng áp dụng đối với từng trường hợp cụ thể như sau:</w:t>
      </w:r>
    </w:p>
    <w:p w14:paraId="0CAB90B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1. Đối với người nộp thuế hưởng lương trong các tổ chức trả thu nhập thuộc Bộ Quốc phòng</w:t>
      </w:r>
    </w:p>
    <w:p w14:paraId="2CDACF5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Đăng ký thuế</w:t>
      </w:r>
    </w:p>
    <w:p w14:paraId="614FF0F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a.1) Người nộp thuế trong các tổ chức trả thu nhập thuộc Bộ Quốc phòng không phải đăng ký thuế;</w:t>
      </w:r>
    </w:p>
    <w:p w14:paraId="52DB7FA8"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a.2) Đăng ký người phụ thuộc để giảm trừ gia cảnh:</w:t>
      </w:r>
    </w:p>
    <w:p w14:paraId="49BD20A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Đăng ký người phụ thuộc lần đầu: người nộp thuế thực hiện đăng ký người phụ thuộc theo mẫu số 01/ĐK-TNCN ban hành kèm theo Thông tư này và nộp cho tổ chức trả thu nhập để làm căn cứ tính giảm trừ cho người phụ thuộc.</w:t>
      </w:r>
    </w:p>
    <w:p w14:paraId="779A9196"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xml:space="preserve">- Đăng ký khi có thay đổi về người phụ thuộc: khi có thay đổi (tăng, giảm) về người phụ thuộc, người nộp thuế thực hiện khai bổ sung thông tin thay đổi của người phụ </w:t>
      </w:r>
      <w:r>
        <w:rPr>
          <w:rFonts w:ascii="Arial" w:hAnsi="Arial" w:cs="Arial"/>
        </w:rPr>
        <w:lastRenderedPageBreak/>
        <w:t>thuộc theo mẫu 01/ĐK-TNCN ban hành kèm theo Thông tư này và nộp cho tổ chức trả thu nhập để làm căn cứ tính giảm trừ cho người phụ thuộc.</w:t>
      </w:r>
    </w:p>
    <w:p w14:paraId="7FD02F6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 Trường hợp người nộp thuế có chung người phụ thuộc với người nộp thuế khác như vợ hoặc chồng, anh, chị, em ruột... thì thỏa thuận để khai người phụ thuộc theo nguyên tắc mỗi người phụ thuộc chỉ được tính giảm trừ một lần vào một người nộp thuế trong năm tính thuế; nếu người nộp thuế và người nộp thuế khác có chung người phụ thuộc phải nuôi dưỡng đều khai giảm trừ gia cảnh thì sẽ bị xử phạt vi phạm theo quy định của Luật Quản lý thuế.</w:t>
      </w:r>
    </w:p>
    <w:p w14:paraId="70B7BC2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Người nộp thuế chỉ phải nộp Tờ khai đăng ký người phụ thuộc, có xác nhận của thủ trưởng cơ quan trả thu nhập mà không phải nộp hồ sơ chứng minh người phụ thuộc, đồng thời chịu trách nhiệm về tính trung thực khi kê khai giảm trừ.</w:t>
      </w:r>
    </w:p>
    <w:p w14:paraId="53BA7C2F"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Khấu trừ thuế</w:t>
      </w:r>
    </w:p>
    <w:p w14:paraId="343B0AB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b.1) Việc khấu trừ thuế đối với thu nhập từ tiền lương, tiền công được thực hiện hàng tháng; số thuế phải khấu trừ được xác định theo hướng dẫn tại Điều 3 Thông tư này. Các tổ chức trả thu nhập hưởng lương từ ngân sách trực tiếp trả thu nhập có trách nhiệm khấu trừ thuế thu nhập cá nhân và nộp về đơn vị cấp trên.</w:t>
      </w:r>
    </w:p>
    <w:p w14:paraId="5815E63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b.2) Trường hợp tổ chức trả thu nhập có phát sinh việc trả thu nhập cho các cá nhân ngoài tổ chức trả thu nhập thì thực hiện khấu trừ thuế với mức 10% đối với thu nhập từ 2.000.000 đồng/lần trở lên theo hướng dẫn tại Thông tư số 111/2013/TT-BTC ngày 15/8/2013 của Bộ Tài chính. Tổ chức trả thu nhập sử dụng chứng từ khấu trừ thuế do cơ quan thuế cấp hoặc tự in chứng từ khấu trừ thuế theo hướng dẫn tại Thông tư số 37/2010/TT-BTC ngày 18/3/2010 của Bộ Tài chính để cấp cho cá nhân bị khấu trừ thuế.</w:t>
      </w:r>
    </w:p>
    <w:p w14:paraId="5B2CC0F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 Nộp thuế</w:t>
      </w:r>
    </w:p>
    <w:p w14:paraId="5EF485E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c.1) Hàng tháng, tổ chức trả thu nhập phải nộp số thuế đã khấu trừ lên cơ quan tài chính cấp trên theo quy định;</w:t>
      </w:r>
    </w:p>
    <w:p w14:paraId="65C28AA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c.2) Hàng quý, chậm nhất ngày 30 của tháng đầu quý tiếp theo Cục Tài chính - Bộ Quốc phòng nộp vào Ngân sách Nhà nước số thuế thu nhập cá nhân của các tổ chức trả thu nhập đã nộp về;</w:t>
      </w:r>
    </w:p>
    <w:p w14:paraId="734EBD7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c.3) Hết năm, chậm nhất là ngày 30 tháng 6 của năm tiếp theo, trên cơ sở quyết toán của các tổ chức trả thu nhập, Cục Tài chính - Bộ Quốc phòng có trách nhiệm xác định tổng số thuế thu nhập cá nhân phải nộp, số đã nộp và nộp hết số còn phải nộp vào Ngân sách Nhà nước.</w:t>
      </w:r>
    </w:p>
    <w:p w14:paraId="2EC6E43B"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 Khai thuế, quyết toán thuế</w:t>
      </w:r>
    </w:p>
    <w:p w14:paraId="1F2E843A"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d.1) Người nộp thuế không phải lập hồ sơ quyết toán thuế đối với thu nhập từ tiền lương, tiền công nêu tại Điều 2 Thông tư này;</w:t>
      </w:r>
    </w:p>
    <w:p w14:paraId="569361E9"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d.2) Các tổ chức trả thu nhập thực hiện quyết toán thuế thay cho từng cá nhân và báo cáo quyết toán chung với quyết toán ngân sách hàng năm với cơ quan cấp trên;</w:t>
      </w:r>
    </w:p>
    <w:p w14:paraId="6F20145D"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d.3) Khi quyết toán thuế thu nhập cá nhân đối với từng trường hợp cụ thể, nếu người nộp thuế có số thuế đã khấu trừ trong năm lớn hơn số thuế phải nộp thì tổ chức trả thu nhập bù trừ số chênh lệch vào số thuế phát sinh của cá nhân đó ở kỳ tiếp theo: Nếu người nộp thuế có yêu cầu hoàn lại số thuế đã nộp thừa thì tổ chức trả thu nhập phải hoàn trả cho người nộp thuế đó. Người nộp thuế phải làm đơn đề nghị hoàn thuế gửi tổ chức trả thu nhập để làm căn cứ hoàn thuế. Tổ chức trả thu nhập lấy số thuế thu nhập cá nhân đã khấu trừ chung trong tháng để hoàn trả, số còn lại nộp lên cấp trên.</w:t>
      </w:r>
    </w:p>
    <w:p w14:paraId="3CBA2321"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d.4) Tổ chức trả thu nhập nộp báo cáo tổng hợp quyết toán thuế thu nhập cá nhân theo mẫu ban hành kèm theo văn bản hướng dẫn về quản lý thuế cho cơ quan tài chính cấp trên theo quy định.</w:t>
      </w:r>
    </w:p>
    <w:p w14:paraId="4BE27FD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2. Đối với các doanh nghiệp thuộc Bộ Quốc phòng:</w:t>
      </w:r>
    </w:p>
    <w:p w14:paraId="4B4ED5D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Các doanh nghiệp thuộc Bộ Quốc phòng thực hiện khai thuế, khấu trừ thuế, nộp thuế, quyết toán thuế thu nhập cá nhân theo hướng dẫn tại Thông tư số 111/2013/TT-BTC ngày 15/8/2013 của Bộ Tài chính.</w:t>
      </w:r>
    </w:p>
    <w:p w14:paraId="2A6F3DB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Người nộp thuế trong các doanh nghiệp thuộc Bộ Quốc phòng phải thực hiện đăng ký thuế, kê khai giảm trừ gia cảnh, xác định số thuế phải nộp, quyết toán thuế, hoàn thuế như đối với các cá nhân có thu nhập từ tiền lương, tiền công làm việc trong các cơ quan hành chính sự nghiệp, đoàn thể, các cơ sở kinh doanh khác theo hướng dẫn tại Thông tư số 111/2013/TT-BTC ngày 15/8/2013 của Bộ Tài chính;</w:t>
      </w:r>
    </w:p>
    <w:p w14:paraId="089EE1A2"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Riêng phụ cấp, trợ cấp đặc thù Quốc phòng được trừ vào thu nhập chịu thuế thực hiện theo hướng dẫn tại điểm a, khoản 2, Điều 2 Thông tư này.</w:t>
      </w:r>
    </w:p>
    <w:p w14:paraId="5242C304"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Điều 6. Tổ chức thực hiện</w:t>
      </w:r>
    </w:p>
    <w:p w14:paraId="66404F03"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1. Hiệu lực thi hành</w:t>
      </w:r>
    </w:p>
    <w:p w14:paraId="4C2408C5"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Thông tư này có hiệu lực thi hành kể từ ngày 12 tháng 02 năm 2014 và thay thế Thông tư liên tịch số 122/2008/TTLT-BTC-BQP ngày 16 tháng 12 năm 2008 của liên Bộ Tài chính - Bộ Quốc phòng, Thông tư liên tịch số 19/2009/TTLT-BTC-BNV ngày 02 tháng 02 năm 2009 của liên Bộ Tài chính - Bộ Nội vụ. Các nội dung khác liên quan đến thu nhập từ tiền lương, tiền công không nêu tại Thông tư này thực hiện theo hướng dẫn tại Thông tư số 111/2013/TT-BTC ngày 15/8/2013 của Bộ Tài chính.</w:t>
      </w:r>
    </w:p>
    <w:p w14:paraId="1D714FE0"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lastRenderedPageBreak/>
        <w:t>Các nội dung về chính sách thuế thu nhập cá nhân quy định tại Luật sửa đổi, bổ sung một số điều của Luật thuế thu nhập cá nhân và Nghị định số 65/2013/NĐ-CP hiệu lực từ thời điểm Luật, Nghị định có hiệu lực (01/7/2013).</w:t>
      </w:r>
    </w:p>
    <w:p w14:paraId="1F1203D7"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2. Trách nhiệm tổ chức thực hiện:</w:t>
      </w:r>
    </w:p>
    <w:p w14:paraId="112A232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a) Tổng cục Thuế - Bộ Tài chính, Cục Tài chính - Bộ Quốc phòng chịu trách nhiệm tổ chức triển khai thực hiện Thông tư này;</w:t>
      </w:r>
    </w:p>
    <w:p w14:paraId="1894478C"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b) Chỉ huy các tổ chức trả thu nhập và cá nhân có thu nhập chịu thuế chịu trách nhiệm chấp hành và thực hiện Thông tư này.</w:t>
      </w:r>
    </w:p>
    <w:p w14:paraId="0B89834E"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Trong quá trình thực hiện, nếu có vướng mắc, đề nghị các đơn vị phản ánh kịp thời về Bộ Tài chính (Tổng cục Thuế) và Bộ Quốc phòng (Cục Tài chính)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E4905" w14:paraId="372F7540" w14:textId="77777777" w:rsidTr="00CE490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EF8B7"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QUỐC PHÒNG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Thượng tướng Lê Hữu Đức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852DB"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TÀI CHÍNH</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Đỗ Hoàng Anh Tuấn</w:t>
            </w:r>
          </w:p>
        </w:tc>
      </w:tr>
      <w:tr w:rsidR="00CE4905" w14:paraId="28CD8263" w14:textId="77777777" w:rsidTr="00CE490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1DBFC" w14:textId="77777777" w:rsidR="00CE4905" w:rsidRDefault="00CE4905">
            <w:pPr>
              <w:pStyle w:val="NormalWeb"/>
              <w:spacing w:after="90" w:afterAutospacing="0" w:line="345" w:lineRule="atLeast"/>
              <w:jc w:val="both"/>
              <w:rPr>
                <w:rFonts w:ascii="Arial" w:hAnsi="Arial" w:cs="Arial"/>
                <w:sz w:val="21"/>
                <w:szCs w:val="21"/>
              </w:rPr>
            </w:pPr>
          </w:p>
          <w:p w14:paraId="6C51342D" w14:textId="77777777" w:rsidR="00CE4905" w:rsidRDefault="00CE4905" w:rsidP="00CE4905">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Thủ tướng, các Phó Thủ tướng Chính phủ;</w:t>
            </w:r>
            <w:r>
              <w:rPr>
                <w:rFonts w:ascii="Arial" w:hAnsi="Arial" w:cs="Arial"/>
                <w:sz w:val="21"/>
                <w:szCs w:val="21"/>
              </w:rPr>
              <w:br/>
              <w:t>- Văn phòng Trung ương và các Ban của Đảng;</w:t>
            </w:r>
            <w:r>
              <w:rPr>
                <w:rFonts w:ascii="Arial" w:hAnsi="Arial" w:cs="Arial"/>
                <w:sz w:val="21"/>
                <w:szCs w:val="21"/>
              </w:rPr>
              <w:br/>
              <w:t>- Văn phòng Tổng bí thư, Chủ tịch nước, Quốc hội;</w:t>
            </w:r>
            <w:r>
              <w:rPr>
                <w:rFonts w:ascii="Arial" w:hAnsi="Arial" w:cs="Arial"/>
                <w:sz w:val="21"/>
                <w:szCs w:val="21"/>
              </w:rPr>
              <w:br/>
              <w:t>- Hội đồng dân tộc và các Ủy ban của Quốc hội;</w:t>
            </w:r>
            <w:r>
              <w:rPr>
                <w:rFonts w:ascii="Arial" w:hAnsi="Arial" w:cs="Arial"/>
                <w:sz w:val="21"/>
                <w:szCs w:val="21"/>
              </w:rPr>
              <w:br/>
              <w:t>- Các Bộ, cơ quan ngang Bộ, cơ quan thuộc Chính phủ;</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UBTW Mặt trận Tổ quốc Việt Nam;</w:t>
            </w:r>
            <w:r>
              <w:rPr>
                <w:rFonts w:ascii="Arial" w:hAnsi="Arial" w:cs="Arial"/>
                <w:sz w:val="21"/>
                <w:szCs w:val="21"/>
              </w:rPr>
              <w:br/>
              <w:t>- Văn phòng Ban chỉ đạo Trung ương về phòng chống tham nhũng;</w:t>
            </w:r>
            <w:r>
              <w:rPr>
                <w:rFonts w:ascii="Arial" w:hAnsi="Arial" w:cs="Arial"/>
                <w:sz w:val="21"/>
                <w:szCs w:val="21"/>
              </w:rPr>
              <w:br/>
              <w:t>- Cơ quan Trung ương của các Đoàn thể;</w:t>
            </w:r>
            <w:r>
              <w:rPr>
                <w:rFonts w:ascii="Arial" w:hAnsi="Arial" w:cs="Arial"/>
                <w:sz w:val="21"/>
                <w:szCs w:val="21"/>
              </w:rPr>
              <w:br/>
              <w:t xml:space="preserve">- HĐND, UBND, Sở TC, Cục thuế các tỉnh, TP </w:t>
            </w:r>
            <w:r>
              <w:rPr>
                <w:rFonts w:ascii="Arial" w:hAnsi="Arial" w:cs="Arial"/>
                <w:sz w:val="21"/>
                <w:szCs w:val="21"/>
              </w:rPr>
              <w:lastRenderedPageBreak/>
              <w:t>trực thuộc TW;</w:t>
            </w:r>
            <w:r>
              <w:rPr>
                <w:rFonts w:ascii="Arial" w:hAnsi="Arial" w:cs="Arial"/>
                <w:sz w:val="21"/>
                <w:szCs w:val="21"/>
              </w:rPr>
              <w:br/>
              <w:t>- Cục Kiểm tra văn bản (Bộ Tư pháp);</w:t>
            </w:r>
            <w:r>
              <w:rPr>
                <w:rFonts w:ascii="Arial" w:hAnsi="Arial" w:cs="Arial"/>
                <w:sz w:val="21"/>
                <w:szCs w:val="21"/>
              </w:rPr>
              <w:br/>
              <w:t>- Các đơn vị thuộc, trực thuộc Bộ Quốc phòng, Bộ Tài chính;</w:t>
            </w:r>
            <w:r>
              <w:rPr>
                <w:rFonts w:ascii="Arial" w:hAnsi="Arial" w:cs="Arial"/>
                <w:sz w:val="21"/>
                <w:szCs w:val="21"/>
              </w:rPr>
              <w:br/>
              <w:t>- Lưu: VT, Bộ Tài chính, Quốc phòng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B9631" w14:textId="77777777" w:rsidR="00CE4905" w:rsidRDefault="00CE4905">
            <w:pPr>
              <w:pStyle w:val="NormalWeb"/>
              <w:spacing w:after="90" w:afterAutospacing="0" w:line="345" w:lineRule="atLeast"/>
              <w:jc w:val="both"/>
              <w:rPr>
                <w:rFonts w:ascii="Arial" w:hAnsi="Arial" w:cs="Arial"/>
                <w:sz w:val="21"/>
                <w:szCs w:val="21"/>
              </w:rPr>
            </w:pPr>
          </w:p>
        </w:tc>
      </w:tr>
    </w:tbl>
    <w:p w14:paraId="6F0FC65D" w14:textId="77777777" w:rsidR="00CE4905" w:rsidRDefault="00CE4905" w:rsidP="00CE4905">
      <w:pPr>
        <w:pStyle w:val="NormalWeb"/>
        <w:spacing w:after="90" w:afterAutospacing="0" w:line="345" w:lineRule="atLeast"/>
        <w:jc w:val="both"/>
        <w:rPr>
          <w:rFonts w:ascii="Arial" w:hAnsi="Arial" w:cs="Arial"/>
        </w:rPr>
      </w:pPr>
    </w:p>
    <w:p w14:paraId="4B39C9AE" w14:textId="77777777" w:rsidR="00CE4905" w:rsidRDefault="00CE4905" w:rsidP="00CE4905">
      <w:pPr>
        <w:pStyle w:val="NormalWeb"/>
        <w:spacing w:after="90" w:afterAutospacing="0" w:line="345" w:lineRule="atLeast"/>
        <w:jc w:val="center"/>
        <w:rPr>
          <w:rFonts w:ascii="Arial" w:hAnsi="Arial" w:cs="Arial"/>
        </w:rPr>
      </w:pPr>
      <w:r>
        <w:rPr>
          <w:rStyle w:val="Strong"/>
          <w:rFonts w:ascii="Arial" w:hAnsi="Arial" w:cs="Arial"/>
          <w:sz w:val="21"/>
          <w:szCs w:val="21"/>
        </w:rPr>
        <w:t>Mẫu số: 01/ĐK-TNCN</w:t>
      </w:r>
    </w:p>
    <w:p w14:paraId="02FB07A2" w14:textId="77777777" w:rsidR="00CE4905" w:rsidRDefault="00CE4905" w:rsidP="00CE4905">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liên tịch số 212/2013/TTLT-BTC-BQP ngày 30/12/2013 của Bộ Tài chính- Bộ Quốc phòng</w:t>
      </w:r>
    </w:p>
    <w:p w14:paraId="73608925" w14:textId="77777777" w:rsidR="00CE4905" w:rsidRDefault="00CE4905" w:rsidP="00CE4905">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97A5298" w14:textId="77777777" w:rsidR="00CE4905" w:rsidRDefault="00CE4905" w:rsidP="00CE4905">
      <w:pPr>
        <w:pStyle w:val="NormalWeb"/>
        <w:spacing w:after="90" w:afterAutospacing="0" w:line="345" w:lineRule="atLeast"/>
        <w:jc w:val="center"/>
        <w:rPr>
          <w:rFonts w:ascii="Arial" w:hAnsi="Arial" w:cs="Arial"/>
        </w:rPr>
      </w:pPr>
    </w:p>
    <w:p w14:paraId="44BF6F41" w14:textId="77777777" w:rsidR="00CE4905" w:rsidRDefault="00CE4905" w:rsidP="00CE4905">
      <w:pPr>
        <w:pStyle w:val="NormalWeb"/>
        <w:spacing w:after="90" w:afterAutospacing="0" w:line="345" w:lineRule="atLeast"/>
        <w:jc w:val="center"/>
        <w:rPr>
          <w:rFonts w:ascii="Arial" w:hAnsi="Arial" w:cs="Arial"/>
        </w:rPr>
      </w:pPr>
      <w:r>
        <w:rPr>
          <w:rStyle w:val="Strong"/>
          <w:rFonts w:ascii="Arial" w:hAnsi="Arial" w:cs="Arial"/>
          <w:sz w:val="21"/>
          <w:szCs w:val="21"/>
        </w:rPr>
        <w:t>MẪU ĐĂNG KÝ NGƯỜI PHỤ THUỘC GIẢM TRỪ GIA CẢNH</w:t>
      </w:r>
    </w:p>
    <w:p w14:paraId="7F1BE8E0"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[01] </w:t>
      </w:r>
      <w:r>
        <w:rPr>
          <w:rFonts w:ascii="Arial" w:hAnsi="Arial" w:cs="Arial"/>
        </w:rPr>
        <w:t>Lần đầu: □              </w:t>
      </w:r>
      <w:r>
        <w:rPr>
          <w:rStyle w:val="Strong"/>
          <w:rFonts w:ascii="Arial" w:hAnsi="Arial" w:cs="Arial"/>
          <w:sz w:val="21"/>
          <w:szCs w:val="21"/>
        </w:rPr>
        <w:t>[02] </w:t>
      </w:r>
      <w:r>
        <w:rPr>
          <w:rFonts w:ascii="Arial" w:hAnsi="Arial" w:cs="Arial"/>
        </w:rPr>
        <w:t>Bổ sung lần thứ: □</w:t>
      </w:r>
    </w:p>
    <w:p w14:paraId="6CC1D887"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[03] </w:t>
      </w:r>
      <w:r>
        <w:rPr>
          <w:rFonts w:ascii="Arial" w:hAnsi="Arial" w:cs="Arial"/>
        </w:rPr>
        <w:t>1. Họ và tên: ................................................................................................</w:t>
      </w:r>
    </w:p>
    <w:p w14:paraId="639C9652" w14:textId="77777777" w:rsidR="00CE4905" w:rsidRDefault="00CE4905" w:rsidP="00CE4905">
      <w:pPr>
        <w:pStyle w:val="NormalWeb"/>
        <w:spacing w:after="90" w:afterAutospacing="0" w:line="345" w:lineRule="atLeast"/>
        <w:jc w:val="both"/>
        <w:rPr>
          <w:rFonts w:ascii="Arial" w:hAnsi="Arial" w:cs="Arial"/>
        </w:rPr>
      </w:pPr>
      <w:r>
        <w:rPr>
          <w:rStyle w:val="Strong"/>
          <w:rFonts w:ascii="Arial" w:hAnsi="Arial" w:cs="Arial"/>
          <w:sz w:val="21"/>
          <w:szCs w:val="21"/>
        </w:rPr>
        <w:t>[04] </w:t>
      </w:r>
      <w:r>
        <w:rPr>
          <w:rFonts w:ascii="Arial" w:hAnsi="Arial" w:cs="Arial"/>
        </w:rPr>
        <w:t>2. Đơn vị: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1652"/>
        <w:gridCol w:w="1665"/>
        <w:gridCol w:w="1426"/>
        <w:gridCol w:w="1805"/>
        <w:gridCol w:w="1786"/>
      </w:tblGrid>
      <w:tr w:rsidR="00CE4905" w14:paraId="685F665A" w14:textId="77777777" w:rsidTr="00CE490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BB8F"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0269"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86F74"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891F9"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Quan hệ với người nộp thuế</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FFAE"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tính giảm trừ (tháng/năm)</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AABA"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kết thúc giảm trừ (tháng/năm)</w:t>
            </w:r>
          </w:p>
        </w:tc>
      </w:tr>
      <w:tr w:rsidR="00CE4905" w14:paraId="5EB59847" w14:textId="77777777" w:rsidTr="00CE490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68129"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[05]</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BC0A"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[06]</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BA3AC"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[07]</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E7BB"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[08]</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E0A7"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[09]</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39EA" w14:textId="77777777" w:rsidR="00CE4905" w:rsidRDefault="00CE490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r>
      <w:tr w:rsidR="00CE4905" w14:paraId="3B7B07F9" w14:textId="77777777" w:rsidTr="00CE490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FC690" w14:textId="77777777" w:rsidR="00CE4905" w:rsidRDefault="00CE490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7C4C" w14:textId="77777777" w:rsidR="00CE4905" w:rsidRDefault="00CE4905">
            <w:pPr>
              <w:pStyle w:val="NormalWeb"/>
              <w:spacing w:after="90" w:afterAutospacing="0" w:line="345" w:lineRule="atLeast"/>
              <w:jc w:val="both"/>
              <w:rPr>
                <w:rFonts w:ascii="Arial" w:hAnsi="Arial" w:cs="Arial"/>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A3E5C" w14:textId="77777777" w:rsidR="00CE4905" w:rsidRDefault="00CE4905">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72597" w14:textId="77777777" w:rsidR="00CE4905" w:rsidRDefault="00CE4905">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9E75A" w14:textId="77777777" w:rsidR="00CE4905" w:rsidRDefault="00CE4905">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D24D6" w14:textId="77777777" w:rsidR="00CE4905" w:rsidRDefault="00CE4905">
            <w:pPr>
              <w:pStyle w:val="NormalWeb"/>
              <w:spacing w:after="90" w:afterAutospacing="0" w:line="345" w:lineRule="atLeast"/>
              <w:jc w:val="both"/>
              <w:rPr>
                <w:rFonts w:ascii="Arial" w:hAnsi="Arial" w:cs="Arial"/>
                <w:sz w:val="21"/>
                <w:szCs w:val="21"/>
              </w:rPr>
            </w:pPr>
          </w:p>
        </w:tc>
      </w:tr>
      <w:tr w:rsidR="00CE4905" w14:paraId="34E29E63" w14:textId="77777777" w:rsidTr="00CE490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DBA50" w14:textId="77777777" w:rsidR="00CE4905" w:rsidRDefault="00CE490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8D9E" w14:textId="77777777" w:rsidR="00CE4905" w:rsidRDefault="00CE4905">
            <w:pPr>
              <w:pStyle w:val="NormalWeb"/>
              <w:spacing w:after="90" w:afterAutospacing="0" w:line="345" w:lineRule="atLeast"/>
              <w:jc w:val="both"/>
              <w:rPr>
                <w:rFonts w:ascii="Arial" w:hAnsi="Arial" w:cs="Arial"/>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B84C" w14:textId="77777777" w:rsidR="00CE4905" w:rsidRDefault="00CE4905">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038A" w14:textId="77777777" w:rsidR="00CE4905" w:rsidRDefault="00CE4905">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AD5B" w14:textId="77777777" w:rsidR="00CE4905" w:rsidRDefault="00CE4905">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86F4C" w14:textId="77777777" w:rsidR="00CE4905" w:rsidRDefault="00CE4905">
            <w:pPr>
              <w:pStyle w:val="NormalWeb"/>
              <w:spacing w:after="90" w:afterAutospacing="0" w:line="345" w:lineRule="atLeast"/>
              <w:jc w:val="both"/>
              <w:rPr>
                <w:rFonts w:ascii="Arial" w:hAnsi="Arial" w:cs="Arial"/>
                <w:sz w:val="21"/>
                <w:szCs w:val="21"/>
              </w:rPr>
            </w:pPr>
          </w:p>
        </w:tc>
      </w:tr>
      <w:tr w:rsidR="00CE4905" w14:paraId="4F9DFEE8" w14:textId="77777777" w:rsidTr="00CE490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0564" w14:textId="77777777" w:rsidR="00CE4905" w:rsidRDefault="00CE4905">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CDD5" w14:textId="77777777" w:rsidR="00CE4905" w:rsidRDefault="00CE4905">
            <w:pPr>
              <w:pStyle w:val="NormalWeb"/>
              <w:spacing w:after="90" w:afterAutospacing="0" w:line="345" w:lineRule="atLeast"/>
              <w:jc w:val="both"/>
              <w:rPr>
                <w:rFonts w:ascii="Arial" w:hAnsi="Arial" w:cs="Arial"/>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2BA3" w14:textId="77777777" w:rsidR="00CE4905" w:rsidRDefault="00CE4905">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DC16" w14:textId="77777777" w:rsidR="00CE4905" w:rsidRDefault="00CE4905">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29F6" w14:textId="77777777" w:rsidR="00CE4905" w:rsidRDefault="00CE4905">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F8069" w14:textId="77777777" w:rsidR="00CE4905" w:rsidRDefault="00CE4905">
            <w:pPr>
              <w:pStyle w:val="NormalWeb"/>
              <w:spacing w:after="90" w:afterAutospacing="0" w:line="345" w:lineRule="atLeast"/>
              <w:jc w:val="both"/>
              <w:rPr>
                <w:rFonts w:ascii="Arial" w:hAnsi="Arial" w:cs="Arial"/>
                <w:sz w:val="21"/>
                <w:szCs w:val="21"/>
              </w:rPr>
            </w:pPr>
          </w:p>
        </w:tc>
      </w:tr>
      <w:tr w:rsidR="00CE4905" w14:paraId="3C758A48" w14:textId="77777777" w:rsidTr="00CE4905">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DE0C" w14:textId="77777777" w:rsidR="00CE4905" w:rsidRDefault="00CE490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B7569" w14:textId="77777777" w:rsidR="00CE4905" w:rsidRDefault="00CE4905">
            <w:pPr>
              <w:pStyle w:val="NormalWeb"/>
              <w:spacing w:after="90" w:afterAutospacing="0" w:line="345" w:lineRule="atLeast"/>
              <w:jc w:val="both"/>
              <w:rPr>
                <w:rFonts w:ascii="Arial" w:hAnsi="Arial" w:cs="Arial"/>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40B25" w14:textId="77777777" w:rsidR="00CE4905" w:rsidRDefault="00CE4905">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67A8" w14:textId="77777777" w:rsidR="00CE4905" w:rsidRDefault="00CE4905">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4A02" w14:textId="77777777" w:rsidR="00CE4905" w:rsidRDefault="00CE4905">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10E7D" w14:textId="77777777" w:rsidR="00CE4905" w:rsidRDefault="00CE4905">
            <w:pPr>
              <w:pStyle w:val="NormalWeb"/>
              <w:spacing w:after="90" w:afterAutospacing="0" w:line="345" w:lineRule="atLeast"/>
              <w:jc w:val="both"/>
              <w:rPr>
                <w:rFonts w:ascii="Arial" w:hAnsi="Arial" w:cs="Arial"/>
                <w:sz w:val="21"/>
                <w:szCs w:val="21"/>
              </w:rPr>
            </w:pPr>
          </w:p>
        </w:tc>
      </w:tr>
    </w:tbl>
    <w:p w14:paraId="0446C0D4" w14:textId="77777777" w:rsidR="00CE4905" w:rsidRDefault="00CE4905" w:rsidP="00CE4905">
      <w:pPr>
        <w:pStyle w:val="NormalWeb"/>
        <w:spacing w:after="90" w:afterAutospacing="0" w:line="345" w:lineRule="atLeast"/>
        <w:jc w:val="both"/>
        <w:rPr>
          <w:rFonts w:ascii="Arial" w:hAnsi="Arial" w:cs="Arial"/>
        </w:rPr>
      </w:pPr>
      <w:r>
        <w:rPr>
          <w:rFonts w:ascii="Arial" w:hAnsi="Arial" w:cs="Arial"/>
        </w:rPr>
        <w:t>Tôi xin cam đoan số liệu, thông tin khai trên là đúng sự thật và chịu trách nhiệm trước pháp luật về những số liệu, thông tin đã khai./.</w:t>
      </w:r>
    </w:p>
    <w:p w14:paraId="2960423C" w14:textId="77777777" w:rsidR="00CE4905" w:rsidRDefault="00CE4905" w:rsidP="00CE4905">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2"/>
        <w:gridCol w:w="3037"/>
        <w:gridCol w:w="2945"/>
      </w:tblGrid>
      <w:tr w:rsidR="00CE4905" w14:paraId="1B0D5D7C" w14:textId="77777777" w:rsidTr="00CE4905">
        <w:trPr>
          <w:tblCellSpacing w:w="0" w:type="dxa"/>
        </w:trPr>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9BAA1" w14:textId="77777777" w:rsidR="00CE4905" w:rsidRDefault="00CE4905">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Thủ trưởng đơn vị</w:t>
            </w:r>
            <w:r>
              <w:rPr>
                <w:rFonts w:ascii="Arial" w:hAnsi="Arial" w:cs="Arial"/>
                <w:sz w:val="21"/>
                <w:szCs w:val="21"/>
              </w:rPr>
              <w:br/>
              <w:t>(Ký, ghi rõ họ, tên; đóng dấu)</w:t>
            </w: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9B396" w14:textId="77777777" w:rsidR="00CE4905" w:rsidRDefault="00CE4905">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Cơ quan quân lực/cán bộ</w:t>
            </w:r>
            <w:r>
              <w:rPr>
                <w:rFonts w:ascii="Arial" w:hAnsi="Arial" w:cs="Arial"/>
                <w:sz w:val="21"/>
                <w:szCs w:val="21"/>
              </w:rPr>
              <w:br/>
              <w:t>(Ký, ghi rõ họ, tên)</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B807E" w14:textId="77777777" w:rsidR="00CE4905" w:rsidRDefault="00CE490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Cá nhân có thu nhập</w:t>
            </w:r>
            <w:r>
              <w:rPr>
                <w:rFonts w:ascii="Arial" w:hAnsi="Arial" w:cs="Arial"/>
                <w:sz w:val="21"/>
                <w:szCs w:val="21"/>
              </w:rPr>
              <w:br/>
              <w:t>(Ký, ghi rõ họ, tên)</w:t>
            </w:r>
          </w:p>
        </w:tc>
      </w:tr>
    </w:tbl>
    <w:p w14:paraId="6AC80D53" w14:textId="77777777" w:rsidR="00CE4905" w:rsidRDefault="00CE4905" w:rsidP="00CE4905">
      <w:pPr>
        <w:pStyle w:val="NormalWeb"/>
        <w:spacing w:after="90" w:afterAutospacing="0" w:line="345" w:lineRule="atLeast"/>
        <w:jc w:val="both"/>
        <w:rPr>
          <w:rFonts w:ascii="Arial" w:hAnsi="Arial" w:cs="Arial"/>
        </w:rPr>
      </w:pPr>
    </w:p>
    <w:p w14:paraId="17B41A99" w14:textId="77777777" w:rsidR="00CE4905" w:rsidRDefault="00CE4905" w:rsidP="00CE4905">
      <w:pPr>
        <w:pStyle w:val="NormalWeb"/>
        <w:spacing w:after="90" w:afterAutospacing="0" w:line="345" w:lineRule="atLeast"/>
        <w:jc w:val="both"/>
        <w:rPr>
          <w:rFonts w:ascii="Arial" w:hAnsi="Arial" w:cs="Arial"/>
        </w:rPr>
      </w:pPr>
    </w:p>
    <w:p w14:paraId="57B992D3" w14:textId="77777777" w:rsidR="00E84537" w:rsidRPr="00CE4905" w:rsidRDefault="00E84537" w:rsidP="00CE4905"/>
    <w:sectPr w:rsidR="00E84537" w:rsidRPr="00CE490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D58BB"/>
    <w:rsid w:val="005743D0"/>
    <w:rsid w:val="007A1069"/>
    <w:rsid w:val="007F33C5"/>
    <w:rsid w:val="00816C44"/>
    <w:rsid w:val="008332B0"/>
    <w:rsid w:val="009D1272"/>
    <w:rsid w:val="00A84986"/>
    <w:rsid w:val="00AA2785"/>
    <w:rsid w:val="00B4260E"/>
    <w:rsid w:val="00BB565B"/>
    <w:rsid w:val="00BE0C28"/>
    <w:rsid w:val="00CE4905"/>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83-2013-nd-cp-cua-chinh-phu---quy-dinh-chi-tiet-thi-hanh-mot-so-dieu-cua-luat-quan-ly-thue-va-luat-sua-doi--bo-sung-mot-so-dieu-cua-luat-quan-ly-thue.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thue-thu-nhap-ca-nhan-sua-doi-bo-sung-nam-2012.aspx" TargetMode="External"/><Relationship Id="rId12" Type="http://schemas.openxmlformats.org/officeDocument/2006/relationships/hyperlink" Target="https://admin.luatminhkhue.vn/van-ban/nghi-dinh-17-2013-nd-cp-ve-che-do-tien-luong-doi-voi-can-bo-cong-chuc-vien-chuc-va-luc-luong-vu-trang.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quan-ly-thue-sua-doi-bo-sung-nam-2012.aspx" TargetMode="External"/><Relationship Id="rId11" Type="http://schemas.openxmlformats.org/officeDocument/2006/relationships/hyperlink" Target="https://admin.luatminhkhue.vn/van-ban/nghi-dinh-so-204-2004-nd-cp-ve-che-do-tien-luong-doi-voi-can-bo-cong-chuc-vien-chuc-va-luc-luong-vu-trang.aspx" TargetMode="External"/><Relationship Id="rId5" Type="http://schemas.openxmlformats.org/officeDocument/2006/relationships/hyperlink" Target="https://admin.luatminhkhue.vn/van-ban/luat-thue-thu-nhap-ca-nhan-nam-2007.aspx" TargetMode="External"/><Relationship Id="rId10" Type="http://schemas.openxmlformats.org/officeDocument/2006/relationships/hyperlink" Target="https://admin.luatminhkhue.vn/van-ban/nghi-dinh-so-118-2008-nd-cp-cua-chinh-phu---quy-dinh-chuc-nang--nhiem-vu--quyen-han-va-co-cau-to-chuc-cua-bo-tai-chinh.aspx" TargetMode="External"/><Relationship Id="rId4" Type="http://schemas.openxmlformats.org/officeDocument/2006/relationships/hyperlink" Target="https://admin.luatminhkhue.vn/van-ban/luat-quan-ly-thue-nam-2006.aspx" TargetMode="External"/><Relationship Id="rId9" Type="http://schemas.openxmlformats.org/officeDocument/2006/relationships/hyperlink" Target="https://admin.luatminhkhue.vn/van-ban/nghi-dinh-so-65-2013-nd-cp-huong-dan-luat-thue-thu-nhap-ca-nha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3900</Words>
  <Characters>22232</Characters>
  <Application>Microsoft Office Word</Application>
  <DocSecurity>0</DocSecurity>
  <Lines>185</Lines>
  <Paragraphs>52</Paragraphs>
  <ScaleCrop>false</ScaleCrop>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2024-12-11T16:15:00Z</dcterms:created>
  <dcterms:modified xsi:type="dcterms:W3CDTF">2024-12-22T12:31:00Z</dcterms:modified>
</cp:coreProperties>
</file>