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9A3339" w14:paraId="09AFFF14" w14:textId="77777777" w:rsidTr="009A333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52D8F"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19C25"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A3339" w14:paraId="1105B0BD" w14:textId="77777777" w:rsidTr="009A333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94841" w14:textId="77777777" w:rsidR="009A3339" w:rsidRDefault="009A33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138/2011/TT-BTC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C2FA" w14:textId="77777777" w:rsidR="009A3339" w:rsidRDefault="009A333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4 tháng 10 năm 2011</w:t>
            </w:r>
          </w:p>
        </w:tc>
      </w:tr>
    </w:tbl>
    <w:p w14:paraId="2259F3D1" w14:textId="77777777" w:rsidR="009A3339" w:rsidRDefault="009A3339" w:rsidP="009A3339">
      <w:pPr>
        <w:pStyle w:val="NormalWeb"/>
        <w:spacing w:after="90" w:afterAutospacing="0" w:line="345" w:lineRule="atLeast"/>
        <w:jc w:val="center"/>
        <w:rPr>
          <w:rFonts w:ascii="Arial" w:hAnsi="Arial" w:cs="Arial"/>
          <w:color w:val="000000"/>
          <w:sz w:val="21"/>
          <w:szCs w:val="21"/>
        </w:rPr>
      </w:pPr>
    </w:p>
    <w:p w14:paraId="6FEB5265" w14:textId="77777777" w:rsidR="009A3339" w:rsidRDefault="009A3339" w:rsidP="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1C4D2BF" w14:textId="77777777" w:rsidR="009A3339" w:rsidRDefault="009A3339" w:rsidP="009A33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SỬA ĐỔI, BỔ SUNG CHẾ ĐỘ KẾ TOÁN DOANH NGHIỆP NHỎ VÀ VỪA BAN HÀNH KÈM THEO QUYẾT ĐỊNH SỐ 48/2006/QĐ-BTC NGÀY 14/9/2006 CỦA BỘ TRƯỞNG BỘ TÀI CHÍNH</w:t>
      </w:r>
    </w:p>
    <w:p w14:paraId="66D5AC2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w:t>
      </w:r>
      <w:hyperlink r:id="rId4" w:tgtFrame="_blank" w:history="1">
        <w:r>
          <w:rPr>
            <w:rStyle w:val="Hyperlink"/>
            <w:rFonts w:ascii="Arial" w:hAnsi="Arial" w:cs="Arial"/>
            <w:i/>
            <w:iCs/>
            <w:color w:val="135ECD"/>
            <w:sz w:val="21"/>
            <w:szCs w:val="21"/>
          </w:rPr>
          <w:t>Luật Kế toán số 03/2003/QH11</w:t>
        </w:r>
      </w:hyperlink>
      <w:r>
        <w:rPr>
          <w:rStyle w:val="Emphasis"/>
          <w:rFonts w:ascii="Arial" w:hAnsi="Arial" w:cs="Arial"/>
          <w:color w:val="000000"/>
          <w:sz w:val="21"/>
          <w:szCs w:val="21"/>
        </w:rPr>
        <w:t> ngày 17/06/2003;</w:t>
      </w:r>
    </w:p>
    <w:p w14:paraId="2E3A019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5" w:tgtFrame="_blank" w:history="1">
        <w:r>
          <w:rPr>
            <w:rStyle w:val="Hyperlink"/>
            <w:rFonts w:ascii="Arial" w:hAnsi="Arial" w:cs="Arial"/>
            <w:i/>
            <w:iCs/>
            <w:color w:val="135ECD"/>
            <w:sz w:val="21"/>
            <w:szCs w:val="21"/>
          </w:rPr>
          <w:t>129/2004/NĐ-CP</w:t>
        </w:r>
      </w:hyperlink>
      <w:r>
        <w:rPr>
          <w:rStyle w:val="Emphasis"/>
          <w:rFonts w:ascii="Arial" w:hAnsi="Arial" w:cs="Arial"/>
          <w:color w:val="000000"/>
          <w:sz w:val="21"/>
          <w:szCs w:val="21"/>
        </w:rPr>
        <w:t> ngày 31/05/2004 của Chính phủ quy định chi tiết và hướng dẫn thi hành một số điều của Luật Kế toán trong hoạt động kinh doanh;</w:t>
      </w:r>
    </w:p>
    <w:p w14:paraId="025B411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6" w:tgtFrame="_blank" w:history="1">
        <w:r>
          <w:rPr>
            <w:rStyle w:val="Hyperlink"/>
            <w:rFonts w:ascii="Arial" w:hAnsi="Arial" w:cs="Arial"/>
            <w:i/>
            <w:iCs/>
            <w:color w:val="135ECD"/>
            <w:sz w:val="21"/>
            <w:szCs w:val="21"/>
          </w:rPr>
          <w:t>118/2008/NĐ-CP</w:t>
        </w:r>
      </w:hyperlink>
      <w:r>
        <w:rPr>
          <w:rStyle w:val="Emphasis"/>
          <w:rFonts w:ascii="Arial" w:hAnsi="Arial" w:cs="Arial"/>
          <w:color w:val="000000"/>
          <w:sz w:val="21"/>
          <w:szCs w:val="21"/>
        </w:rPr>
        <w:t> ngày 27/11/2008 của Chính phủ quy định chức năng, nhiệm vụ, quyền hạn và cơ cấu tổ chức của Bộ Tài chính;</w:t>
      </w:r>
    </w:p>
    <w:p w14:paraId="01DCDD4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7" w:tgtFrame="_blank" w:history="1">
        <w:r>
          <w:rPr>
            <w:rStyle w:val="Hyperlink"/>
            <w:rFonts w:ascii="Arial" w:hAnsi="Arial" w:cs="Arial"/>
            <w:i/>
            <w:iCs/>
            <w:color w:val="135ECD"/>
            <w:sz w:val="21"/>
            <w:szCs w:val="21"/>
          </w:rPr>
          <w:t>56/2009/NĐ-CP</w:t>
        </w:r>
      </w:hyperlink>
      <w:r>
        <w:rPr>
          <w:rStyle w:val="Emphasis"/>
          <w:rFonts w:ascii="Arial" w:hAnsi="Arial" w:cs="Arial"/>
          <w:color w:val="000000"/>
          <w:sz w:val="21"/>
          <w:szCs w:val="21"/>
        </w:rPr>
        <w:t> ngày 30/6/2009 của Chính phủ về trợ giúp phát triển doanh nghiệp nhỏ và vừa;</w:t>
      </w:r>
    </w:p>
    <w:p w14:paraId="1121E96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8" w:tgtFrame="_blank" w:history="1">
        <w:r>
          <w:rPr>
            <w:rStyle w:val="Hyperlink"/>
            <w:rFonts w:ascii="Arial" w:hAnsi="Arial" w:cs="Arial"/>
            <w:i/>
            <w:iCs/>
            <w:color w:val="135ECD"/>
            <w:sz w:val="21"/>
            <w:szCs w:val="21"/>
          </w:rPr>
          <w:t>123/2008/NĐ-CP</w:t>
        </w:r>
      </w:hyperlink>
      <w:r>
        <w:rPr>
          <w:rStyle w:val="Emphasis"/>
          <w:rFonts w:ascii="Arial" w:hAnsi="Arial" w:cs="Arial"/>
          <w:color w:val="000000"/>
          <w:sz w:val="21"/>
          <w:szCs w:val="21"/>
        </w:rPr>
        <w:t> ngày 8/12/2008 của Chính phủ quy định chi tiết và hướng dẫn thi hành một số điều của Luật thuế Giá trị gia tăng;</w:t>
      </w:r>
    </w:p>
    <w:p w14:paraId="5D03E18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Nghị định số </w:t>
      </w:r>
      <w:hyperlink r:id="rId9" w:tgtFrame="_blank" w:history="1">
        <w:r>
          <w:rPr>
            <w:rStyle w:val="Hyperlink"/>
            <w:rFonts w:ascii="Arial" w:hAnsi="Arial" w:cs="Arial"/>
            <w:i/>
            <w:iCs/>
            <w:color w:val="135ECD"/>
            <w:sz w:val="21"/>
            <w:szCs w:val="21"/>
          </w:rPr>
          <w:t>124/2008/NĐ-CP</w:t>
        </w:r>
      </w:hyperlink>
      <w:r>
        <w:rPr>
          <w:rStyle w:val="Emphasis"/>
          <w:rFonts w:ascii="Arial" w:hAnsi="Arial" w:cs="Arial"/>
          <w:color w:val="000000"/>
          <w:sz w:val="21"/>
          <w:szCs w:val="21"/>
        </w:rPr>
        <w:t> ngày 11/12/2008 của Chính phủ quy định chi tiết và hướng dẫn thi hành một số điều của Luật thuế thu nhập doanh nghiệp;</w:t>
      </w:r>
    </w:p>
    <w:p w14:paraId="78EF53A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Tài chính hướng dẫn sửa đổi, bổ sung Chế độ kế toán Doanh nghiệp nhỏ và vừa ban hành kèm theo Quyết định số </w:t>
      </w:r>
      <w:hyperlink r:id="rId10" w:tgtFrame="_blank" w:history="1">
        <w:r>
          <w:rPr>
            <w:rStyle w:val="Hyperlink"/>
            <w:rFonts w:ascii="Arial" w:hAnsi="Arial" w:cs="Arial"/>
            <w:i/>
            <w:iCs/>
            <w:color w:val="135ECD"/>
            <w:sz w:val="21"/>
            <w:szCs w:val="21"/>
          </w:rPr>
          <w:t>48/2006/QĐ-BTC</w:t>
        </w:r>
      </w:hyperlink>
      <w:r>
        <w:rPr>
          <w:rStyle w:val="Emphasis"/>
          <w:rFonts w:ascii="Arial" w:hAnsi="Arial" w:cs="Arial"/>
          <w:color w:val="000000"/>
          <w:sz w:val="21"/>
          <w:szCs w:val="21"/>
        </w:rPr>
        <w:t> ngày 14/9/2006 của Bộ trưởng Bộ Tài chính như sau:</w:t>
      </w:r>
    </w:p>
    <w:p w14:paraId="1068CEA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quy định tại Chế độ kế toán Doanh nghiệp nhỏ và vừa ban hành kèm theo Quyết định số 48/2006/QĐ-BTC ngày 14/9/2006 của Bộ trưởng Bộ Tài chính như sau:</w:t>
      </w:r>
    </w:p>
    <w:p w14:paraId="1FCC1A0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b/>
          <w:bCs/>
          <w:color w:val="000000"/>
          <w:sz w:val="21"/>
          <w:szCs w:val="21"/>
        </w:rPr>
        <w:t> Mục 4 phần thứ nhất “Quy định chung” được sửa đổi, bổ sung như sau:</w:t>
      </w:r>
    </w:p>
    <w:p w14:paraId="741078E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chữ số, đơn vị tính, đơn vị tiền tệ sử dụng trong kế toán</w:t>
      </w:r>
    </w:p>
    <w:p w14:paraId="36FC273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Chữ viết, chữ số trong kế toán</w:t>
      </w:r>
    </w:p>
    <w:p w14:paraId="027A34D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Chữ viết sử dụng trong kế toán là tiếng Việt.</w:t>
      </w:r>
    </w:p>
    <w:p w14:paraId="2549E23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Chữ số sử dụng trong kế toán là chữ số Ả Rập: 0, 1, 2, 3, 4, 5, 6, 7, 8, 9; sau chữ số hàng nghìn, triệu, tỷ, nghìn tỷ,... phải đặt dấu chấm (.); khi còn ghi chữ số sau chữ số hàng đơn vị phải đặt dấu phẩy (,) sau chữ số hàng đơn vị.”</w:t>
      </w:r>
    </w:p>
    <w:p w14:paraId="1E79189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Đơn vị tính sử dụng trong kế toán</w:t>
      </w:r>
    </w:p>
    <w:p w14:paraId="26B19FA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hiện vật và đơn vị thời gian lao động áp dụng cho các doanh nghiệp nhỏ và vừa là đơn vị đo lường chính thức của Cộng hòa xã hội chủ nghĩa Việt Nam; trường hợp có sử dụng đơn vị đo lường khác thì phải quy đổi ra đơn vị đo lường chính thức của Cộng hòa xã hội chủ nghĩa Việt Nam.</w:t>
      </w:r>
    </w:p>
    <w:p w14:paraId="07462C4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Đơn vị tiền tệ sử dụng trong kế toán</w:t>
      </w:r>
    </w:p>
    <w:p w14:paraId="2A1E31A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tiền tệ trong kế toán: là Đồng Việt Nam (Ký hiệu quốc gia là “đ”; Ký hiệu quốc tế là “VND”) được dùng để ghi sổ kế toán, lập và trình bày báo cáo tài chính của doanh nghiệp.</w:t>
      </w:r>
    </w:p>
    <w:p w14:paraId="6363CFE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kế toán chủ yếu thu, chi bằng ngoại tệ thì được chọn một loại ngoại tệ làm đơn vị tiền tệ để ghi sổ kế toán, lập và trình bày báo cáo tài chính.</w:t>
      </w:r>
    </w:p>
    <w:p w14:paraId="072B8A8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đơn vị tiền tệ trong kế toán đối với các doanh nghiệp nhỏ và vừa có vốn đầu tư nước ngoài</w:t>
      </w:r>
    </w:p>
    <w:p w14:paraId="2C6E9DC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nhỏ và vừa có vốn đầu tư nước ngoài (dưới đây gọi tắt là doanh nghiệp nhỏ và vừa) thu, chi chủ yếu bằng ngoại tệ căn cứ vào quy định của Luật Kế toán để xem xét, quyết định lựa chọn đơn vị tiền tệ trong kế toán và chịu trách nhiệm về quyết định đó trước pháp luật. Khi lựa chọn ngoại tệ làm đơn vị tiền tệ trong kế toán, doanh nghiệp nhỏ và vừa phải thông báo với cơ quan thuế quản lý trực tiếp.</w:t>
      </w:r>
    </w:p>
    <w:p w14:paraId="2AA6FC3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lựa chọn ngoại tệ làm đơn vị tiền tệ trong kế toán, doanh nghiệp Nhỏ và vừa phải đáp ứng được đồng thời các tiêu chuẩn sau:</w:t>
      </w:r>
    </w:p>
    <w:p w14:paraId="63266A3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tiền tệ đó phải được sử dụng chủ yếu trong các giao dịch bán hàng, cung cấp dịch vụ của doanh nghiệp, có ảnh hưởng lớn đến giá bán hàng hoá, dịch vụ và thường là đơn vị tiền tệ được sử dụng trong việc quyết định giá bán hàng;</w:t>
      </w:r>
    </w:p>
    <w:p w14:paraId="53C5046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tiền tệ đó phải được sử dụng chủ yếu trong việc mua hàng hoá, dịch vụ của doanh nghiệp nhỏ và vừa và thường là đơn vị tiền tệ được sử dụng chủ yếu trong việc tính toán doanh thu, chi phí nhân công, thanh toán tiền mua nguyên vật liệu, hàng hoá và dịch vụ.</w:t>
      </w:r>
    </w:p>
    <w:p w14:paraId="484720D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Nhỏ và vừa có công ty mẹ ở nước ngoài thì chỉ được lựa chọn đơn vị tiền tệ trong kế toán giống với đơn vị tiền tệ trong kế toán của công ty mẹ nếu thuộc một trong các trường hợp sau:</w:t>
      </w:r>
    </w:p>
    <w:p w14:paraId="6BC392C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Nhỏ và vừa được thành lập với mục đích chủ yếu là sản xuất và gia công sản phẩm cho công ty mẹ, phần lớn nguyên liệu được mua từ công ty mẹ và sản phẩm được xuất khẩu và tiêu thụ bởi công ty mẹ;</w:t>
      </w:r>
    </w:p>
    <w:p w14:paraId="48E2986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trọng các hoạt động của doanh nghiệp Nhỏ và vừa với công ty mẹ hoặc tỷ trọng các giao dịch kinh doanh của doanh nghiệp Nhỏ và vừa bằng đơn vị tiền tệ trong kế toán của công ty mẹ là đáng kể (trên 70%).</w:t>
      </w:r>
    </w:p>
    <w:p w14:paraId="37FCDB8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đổi báo cáo tài chính lập bằng đơn vị tiền tệ trong kế toán là ngoại tệ sang Việt Nam Đồng khi nộp cho các cơ quan quản lý Nhà nước</w:t>
      </w:r>
    </w:p>
    <w:p w14:paraId="7A7E30B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doanh nghiệp Nhỏ và vừa có vốn đầu tư nước ngoài thành lập và hoạt động ở Việt Nam sử dụng ngoại tệ làm đơn vị tiền tệ trong kế toán thì đồng thời với việc lập Báo cáo tài chính theo đơn vị tiền tệ trong kế toán (ngoại tệ) còn phải quy đổi báo cáo tài chính sang Việt Nam Đồng khi nộp cho cơ quan quản lý Nhà nước.</w:t>
      </w:r>
    </w:p>
    <w:p w14:paraId="561FCD8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quy đổi báo cáo tài chính lập bằng đơn vị tiền tệ kế toán là ngoại tệ sang Việt Nam Đồng:</w:t>
      </w:r>
    </w:p>
    <w:p w14:paraId="1D1D517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khoản mục trên báo cáo tài chính của doanh nghiệp (cả số liệu báo cáo và số liệu so sánh) đều được quy đổi theo tỷ giá giao dịch bình quân trên thị trường ngoại tệ liên ngân hàng (sau đây viết tắt là tỷ giá bình quân liên ngân hàng) do NHNN Việt Nam công bố tại ngày kết thúc kỳ kế toán. Trường hợp tại ngày kết thúc kỳ kế toán không có tỷ giá bình quân liên ngân hàng thì lấy tỷ giá bình quân liên ngân hàng tại ngày gần nhất trước ngày kết thúc kỳ kế toán.</w:t>
      </w:r>
    </w:p>
    <w:p w14:paraId="08CA573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toán báo cáo tài chính trong trường hợp sử dụng đơn vị tiền tệ trong kế toán là ngoại tệ</w:t>
      </w:r>
    </w:p>
    <w:p w14:paraId="558163F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lập theo đơn vị tiền tệ trong kế toán là ngoại tệ được kiểm toán theo chế độ quy định hiện hành. Báo cáo tài chính lập theo đơn vị tiền tệ trong kế toán là ngoại tệ khi quy đổi ra Việt Nam đồng không bắt buộc phải kiểm toán mà chỉ cần có ý kiến xác nhận của kiểm toán về tỷ giá quy đổi và tính chính xác của việc quy đổi.</w:t>
      </w:r>
    </w:p>
    <w:p w14:paraId="5FE4423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đơn vị tiền tệ trong kế toán</w:t>
      </w:r>
    </w:p>
    <w:p w14:paraId="52CDD34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sự thay đổi lớn về hoạt động quản lý và kinh doanh dẫn đến đơn vị tiền tệ được sử dụng trong các giao dịch kinh tế không còn thoả mãn các tiêu chuẩn nêu ở điểm a khoản 4.3 mục 4 Phần thứ nhất “Quy định chung” Quyết định 48/2006/QĐ-BTC thì doanh nghiệp Nhỏ và vừa được thay đổi đơn vị tiền tệ trong kế toán. Việc thay đổi từ một đơn vị tiền tệ ghi sổ kế toán này sang một đơn vị tiền tệ ghi sổ kế toán khác chỉ được thực hiện tại thời điểm bắt đầu niên độ kế toán mới. Doanh nghiệp Nhỏ và vừa phải thông báo cho cơ quan thuế quản lý trực tiếp về việc thay đổi đơn vị tiền tệ trong kế toán chậm nhất là sau 10 ngày làm việc kể từ ngày kết thúc niên độ kế toán.</w:t>
      </w:r>
    </w:p>
    <w:p w14:paraId="3D2F690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áp dụng cho các khoản mục thuộc Bảng Cân đối kế toán khi thay đổi đơn vị tiền tệ trong kế toán:</w:t>
      </w:r>
    </w:p>
    <w:p w14:paraId="5EDD967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khoản mục thuộc Bảng cân đối kế toán được quy đổi sang đơn vị tiền tệ trong kế toán mới theo tỷ giá bình quân liên ngân hàng tại ngày thay đổi đơn vị tiền tệ trong kế toán.</w:t>
      </w:r>
    </w:p>
    <w:p w14:paraId="75E1903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thông tin so sánh khi thay đổi đơn vị tiền tệ trong kế toán</w:t>
      </w:r>
    </w:p>
    <w:p w14:paraId="69678BE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kỳ kế toán đầu tiên kể từ khi thay đổi đơn vị tiền tệ trong kế toán, doanh nghiệp Nhỏ và vừa phải lập báo cáo tài chính theo đơn vị tiền tệ ghi sổ kế toán mới và trình bày lại số liệu về thông tin so sánh (cột “Đầu năm” của Bảng Cân đối kế toán và cột “Năm trước” của Báo cáo kết quả hoạt động kinh doanh và Báo cáo lưu chuyển tiền tệ), cụ thể:</w:t>
      </w:r>
    </w:p>
    <w:p w14:paraId="446E7CE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“Đầu năm” của Bảng Cân đối kế toán được trình bày căn cứ vào Bảng Cân đối kế toán được lập tại thời điểm đầu năm tài chính (thời điểm thay đổi đơn vị tiền tệ trong kế toán) bằng cách sử dụng tỷ giá bình quân liên ngân hàng tại ngày thay đổi đơn vị tiền tệ trong kế toán.</w:t>
      </w:r>
    </w:p>
    <w:p w14:paraId="5DBB546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“Năm trước” của Báo cáo kết quả hoạt động kinh doanh và Báo cáo lưu chuyển tiền tệ được trình bày căn cứ vào Báo cáo kết quả hoạt động kinh doanh và Báo cáo lưu chuyển tiền tệ được lập tại thời điểm đầu năm bằng cách sử dụng tỷ giá bình quân liên ngân hàng trung bình năm trước liền kề năm thay đổi đơn vị tiền tệ trong kế toán.</w:t>
      </w:r>
    </w:p>
    <w:p w14:paraId="76A2F2F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softHyphen/>
      </w:r>
      <w:r>
        <w:rPr>
          <w:rFonts w:ascii="Arial" w:hAnsi="Arial" w:cs="Arial"/>
          <w:color w:val="000000"/>
          <w:sz w:val="21"/>
          <w:szCs w:val="21"/>
        </w:rPr>
        <w:t>e) Thuyết minh báo cáo tài chính</w:t>
      </w:r>
    </w:p>
    <w:p w14:paraId="645033B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 đổi báo cáo tài chính (được lập bằng ngoại tệ) sang Việt Nam Đồng hoặc khi thay đổi đơn vị tiền tệ trong kế toán, doanh nghiệp Nhỏ và vừa phải trình bày rõ trên Thuyết minh báo cáo tài chính lý do thay đổi đơn vị tiền tệ trong kế toán và những ảnh hưởng (nếu có) đối với báo cáo tài chính do việc quy đổi báo cáo tài chính từ đồng ngoại tệ sang Việt Nam Đồng hoặc thay đổi đơn vị tiền tệ trong kế toán.”</w:t>
      </w:r>
    </w:p>
    <w:p w14:paraId="73DBE33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b/>
          <w:bCs/>
          <w:color w:val="000000"/>
          <w:sz w:val="21"/>
          <w:szCs w:val="21"/>
        </w:rPr>
        <w:t> Mục 5, 6, 7, 8, 9 phần thứ nhất “Quy định chung” được sửa đổi, bổ sung như sau:</w:t>
      </w:r>
    </w:p>
    <w:p w14:paraId="55A9A87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đổi số thứ tự các Mục 5, 6, 7, 8, 9 thành Mục “4, 5, 6, 7, 8”.</w:t>
      </w:r>
    </w:p>
    <w:p w14:paraId="68B119F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điểm tương ứng trong Mục 5, 6, 7, 8, 9 cũ được sửa đổi, bổ sung tương ứng trong Mục 4, 5, 6, 7, 8 mới.</w:t>
      </w:r>
    </w:p>
    <w:p w14:paraId="6D3E548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b/>
          <w:bCs/>
          <w:color w:val="000000"/>
          <w:sz w:val="21"/>
          <w:szCs w:val="21"/>
        </w:rPr>
        <w:t> Mục II phần thứ hai “Hệ thống tài khoản kế toán” </w:t>
      </w:r>
      <w:r>
        <w:rPr>
          <w:rFonts w:ascii="Arial" w:hAnsi="Arial" w:cs="Arial"/>
          <w:color w:val="000000"/>
          <w:sz w:val="21"/>
          <w:szCs w:val="21"/>
        </w:rPr>
        <w:t>được sửa đổi, bổ sung như sau:</w:t>
      </w:r>
    </w:p>
    <w:p w14:paraId="0B3C93B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tài khoản 171 – “Giao dịch mua bán lại trái phiếu Chính phủ”.</w:t>
      </w:r>
    </w:p>
    <w:p w14:paraId="2DFA6AA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Tài khoản 3389 - “Bảo hiểm thất nghiệp”.</w:t>
      </w:r>
    </w:p>
    <w:p w14:paraId="7ADB615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số hiệu tài khoản 431 - “Quỹ khen thưởng phúc lợi” như sau:</w:t>
      </w:r>
    </w:p>
    <w:p w14:paraId="4D320F1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số hiệu tài khoản 431- “Quỹ khen thưởng, phúc lợi” thành tài khoản 353 - “Quỹ khen thưởng, phúc lợi”;</w:t>
      </w:r>
    </w:p>
    <w:p w14:paraId="1478A52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Đổi số hiệu tài khoản 4311 - “Quỹ khen thưởng” thành tài khoản 3531-“ Quỹ khen thưởng”;</w:t>
      </w:r>
    </w:p>
    <w:p w14:paraId="7365199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số hiệu tài khoản 4312 - “Quỹ phúc lợi” thành tài khoản 3532- “Quỹ phúc lợi”.</w:t>
      </w:r>
    </w:p>
    <w:p w14:paraId="0894A8A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tài khoản 3533 - “Quỹ phúc lợi đã hình thành TSCĐ”, là tài khoản cấp 2 của tài khoản 353 - “Quỹ khen thưởng, phúc lợi”.</w:t>
      </w:r>
    </w:p>
    <w:p w14:paraId="4A17CC7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tài khoản 3534 - “Quỹ thưởng ban quản lý điều hành công ty”, là tài khoản cấp 2 của tài khoản 353 - “Quỹ khen thưởng, phúc lợi”.</w:t>
      </w:r>
    </w:p>
    <w:p w14:paraId="0E0ACB7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tài khoản 356 - “Quỹ phát triển khoa học và công nghệ” và bổ sung 2 tài khoản cấp 2 như:</w:t>
      </w:r>
    </w:p>
    <w:p w14:paraId="4F2D5C5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3561 - Quỹ phát triển khoa học và công nghệ;</w:t>
      </w:r>
    </w:p>
    <w:p w14:paraId="1A3C5EF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3562 - Quỹ phát triển khoa học và công nghệ đã hình thành TSCĐ.</w:t>
      </w:r>
    </w:p>
    <w:p w14:paraId="19139F5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thứ hai “Hệ thống tài khoản kế toán” bổ sung</w:t>
      </w:r>
      <w:r>
        <w:rPr>
          <w:rStyle w:val="Emphasis"/>
          <w:rFonts w:ascii="Arial" w:hAnsi="Arial" w:cs="Arial"/>
          <w:b/>
          <w:bCs/>
          <w:color w:val="000000"/>
          <w:sz w:val="21"/>
          <w:szCs w:val="21"/>
        </w:rPr>
        <w:t> Mục II I như sau:</w:t>
      </w:r>
    </w:p>
    <w:p w14:paraId="20D3B6C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Giải thích nội dung, kết cấu và phương pháp ghi chép một số tài khoản kế toán</w:t>
      </w:r>
    </w:p>
    <w:p w14:paraId="7516B2C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toán chi phí phát hành cổ phiếu</w:t>
      </w:r>
    </w:p>
    <w:p w14:paraId="02D62E2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cổ phần phát hành cổ phiếu, kế toán ghi nhận các chi phí trực tiếp liên quan đến việc phát hành cổ phiếu, ghi:</w:t>
      </w:r>
    </w:p>
    <w:p w14:paraId="6DB5535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604A8A1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6A09DB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toán tăng vốn đầu tư của chủ sở hữu tại công ty cổ phần</w:t>
      </w:r>
    </w:p>
    <w:p w14:paraId="7ACEB3D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chung:</w:t>
      </w:r>
    </w:p>
    <w:p w14:paraId="66D63AC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tăng vốn đầu tư của chủ sở hữu được hướng dẫn bổ sung trong Thông tư này bao gồm các trường hợp phát hành thêm cổ phiếu không thu tiền, như: Phát hành thêm cổ phiếu từ nguồn thặng dư vốn cổ phần, từ lợi nhuận sau thuế chưa phân phối (trả cổ tức bằng cổ phiếu) và từ quỹ khen thưởng, phúc lợi.</w:t>
      </w:r>
    </w:p>
    <w:p w14:paraId="439B133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mọi trường hợp phát hành thêm cổ phiếu không thu tiền, công ty cổ phần đều phải thực hiện đầy đủ các thủ tục theo quy định của pháp luật. Khi được đại hội cổ đông thông qua và được cơ quan có thẩm quyền chấp thuận việc phát hành thêm cổ phiếu, công ty cổ phần phải ghi sổ kế toán để điều chỉnh vốn cổ phần theo phương án đã được phê duyệt.</w:t>
      </w:r>
    </w:p>
    <w:p w14:paraId="2F3CA35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các nghiệp vụ cụ thể:</w:t>
      </w:r>
    </w:p>
    <w:p w14:paraId="4452CDD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công ty cổ phần được phát hành thêm cổ phiếu từ nguồn thặng dư vốn cổ phần, kế toán căn cứ vào hồ sơ, chứng từ kế toán liên quan, ghi:</w:t>
      </w:r>
    </w:p>
    <w:p w14:paraId="37B09D4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w:t>
      </w:r>
    </w:p>
    <w:p w14:paraId="0D8DBE2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đầu tư của chủ sở hữu.</w:t>
      </w:r>
    </w:p>
    <w:p w14:paraId="11C3A09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cổ phần được phát hành thêm cổ phiếu từ các quỹ thuộc vốn chủ sở hữu, ghi:</w:t>
      </w:r>
    </w:p>
    <w:p w14:paraId="18F4F8A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418- Các quỹ thuộc vốn chủ sở hữu</w:t>
      </w:r>
    </w:p>
    <w:p w14:paraId="08F40E2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đầu tư của chủ sở hữu.</w:t>
      </w:r>
    </w:p>
    <w:p w14:paraId="15D01F8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6C562F5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cổ phần được phát hành thêm cổ phiếu từ nguồn lợi nhuận sau thuế chưa phân phối (trả cổ tức bằng cổ phiếu), ghi:</w:t>
      </w:r>
    </w:p>
    <w:p w14:paraId="416330B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sau thuế chưa phân phối</w:t>
      </w:r>
    </w:p>
    <w:p w14:paraId="1551A08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Vốn đầu tư của chủ sở hữu;</w:t>
      </w:r>
    </w:p>
    <w:p w14:paraId="7788E52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(nếu có).</w:t>
      </w:r>
    </w:p>
    <w:p w14:paraId="59CD437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công ty cổ phần được phát hành cổ phiếu thưởng từ quỹ khen thưởng để tăng vốn đầu tư của chủ sở hữu, ghi:</w:t>
      </w:r>
    </w:p>
    <w:p w14:paraId="32A2352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3531 - Quỹ khen thưởng</w:t>
      </w:r>
    </w:p>
    <w:p w14:paraId="13DCE0F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4112 - Thặng dư vốn cổ phần (Phần chênh lệch giữa giá bán thấp hơn mệnh giá - nếu có)</w:t>
      </w:r>
    </w:p>
    <w:p w14:paraId="1BB05E5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4111 - Vốn đầu tư của chủ sở hữu</w:t>
      </w:r>
    </w:p>
    <w:p w14:paraId="5820294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4112 - Thặng dư vốn cổ phần (Phần chênh lệch giữa giá bán cao hơn mệnh giá - nếu có).</w:t>
      </w:r>
    </w:p>
    <w:p w14:paraId="64DCD51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toán trường hợp nhà đầu tư được nhận cổ phiếu do công ty cổ phần tăng vốn đầu tư của chủ sở hữu</w:t>
      </w:r>
    </w:p>
    <w:p w14:paraId="06E8ECE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nhà đầu tư được nhận thêm cổ phiếu mà không phải trả tiền do công ty cổ phần sử dụng thặng dư vốn cổ phần, các quỹ thuộc vốn chủ sở hữu và lợi nhuận sau thuế chưa phân phối (chia cổ tức bằng cổ phiếu) thì thực hiện theo quy định của Chế độ kế toán doanh nghiệp hiện hành.</w:t>
      </w:r>
    </w:p>
    <w:p w14:paraId="30D5A10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toán Bảo hiểm thất nghiệp</w:t>
      </w:r>
    </w:p>
    <w:p w14:paraId="0E8E6E9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 toán bảo hiểm thất nghiệp sử dụng tài khoản 3389. Tài khoản này dùng để phản ánh tình hình trích và đóng Bảo hiểm thất nghiệp cho người lao động ở doanh nghiệp theo quy định của pháp luật về bảo hiểm thất nghiệp. Doanh nghiệp Nhỏ và vừa phải mở sổ kế toán chi tiết để theo dõi Bảo hiểm thất nghiệp.</w:t>
      </w:r>
    </w:p>
    <w:p w14:paraId="09357EC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nội dung phản ánh của tài khoản 3389 - Bảo hiểm thất nghiệp</w:t>
      </w:r>
    </w:p>
    <w:p w14:paraId="644D960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 Số Bảo hiểm thất nghiệp đã nộp cho cơ quan quản lý quỹ bảo hiểm thất nghiệp.</w:t>
      </w:r>
    </w:p>
    <w:p w14:paraId="0F81361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w:t>
      </w:r>
    </w:p>
    <w:p w14:paraId="6B04653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bảo hiểm thất nghiệp vào chi phí sản xuất, kinh doanh;</w:t>
      </w:r>
    </w:p>
    <w:p w14:paraId="22AB176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bảo hiểm thất nghiệp khấu trừ vào lương của công nhân viên.</w:t>
      </w:r>
    </w:p>
    <w:p w14:paraId="18AD244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r>
        <w:rPr>
          <w:rFonts w:ascii="Arial" w:hAnsi="Arial" w:cs="Arial"/>
          <w:color w:val="000000"/>
          <w:sz w:val="21"/>
          <w:szCs w:val="21"/>
        </w:rPr>
        <w:t>: Số bảo hiểm thất nghiệp đã trích nhưng chưa nộp cho cơ quan quản lý quỹ bảo hiểm thất nghiệp.</w:t>
      </w:r>
    </w:p>
    <w:p w14:paraId="4555A68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hạch toán một số nghiệp vụ kinh tế chủ yếu</w:t>
      </w:r>
    </w:p>
    <w:p w14:paraId="01E2C17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trích bảo hiểm thất nghiệp tính vào chi phí sản xuất, kinh doanh, ghi:</w:t>
      </w:r>
    </w:p>
    <w:p w14:paraId="7323E69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154, 642…</w:t>
      </w:r>
    </w:p>
    <w:p w14:paraId="43510C5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(3389).</w:t>
      </w:r>
    </w:p>
    <w:p w14:paraId="175330E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số tiền bảo hiểm thất nghiệp mà công nhân viên phải nộp được trừ vào lương của công nhân viên, ghi:</w:t>
      </w:r>
    </w:p>
    <w:p w14:paraId="6D88232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334 - Phải trả người lao động</w:t>
      </w:r>
    </w:p>
    <w:p w14:paraId="1ABA489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338 - Phải trả, phải nộp khác (3389).</w:t>
      </w:r>
    </w:p>
    <w:p w14:paraId="777FC19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nộp bảo hiểm thất nghiệp cho cơ quan quản lý quỹ bảo hiểm thất nghiệp, ghi:</w:t>
      </w:r>
    </w:p>
    <w:p w14:paraId="7B31A30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338 - Phải trả, phải nộp khác (3389)</w:t>
      </w:r>
    </w:p>
    <w:p w14:paraId="3A491FB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2534C6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toán Quỹ khen thưởng, phúc lợi</w:t>
      </w:r>
    </w:p>
    <w:p w14:paraId="70A80FB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cấu, nội dung phản ánh và phương pháp hạch toán của tài khoản 3531, 3532 không thay đổi so với tài khoản 431 quy định tại Quyết định số 48/2006/QĐ-BTC ngày 14/9/2006 của Bộ trưởng Bộ Tài chính.</w:t>
      </w:r>
    </w:p>
    <w:p w14:paraId="7A6F038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khoản 3533- Quỹ phúc lợi đã hình thành TSCĐ</w:t>
      </w:r>
    </w:p>
    <w:p w14:paraId="0FE7CA4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dùng để phản ánh số hiện có, tình hình tăng, giảm quỹ phúc lợi đã hình thành tài sản cố định của doanh nghiệp.</w:t>
      </w:r>
    </w:p>
    <w:p w14:paraId="4A47FD7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3533 - “Quỹ phúc lợi đã hình thành TSCĐ”</w:t>
      </w:r>
    </w:p>
    <w:p w14:paraId="46D3280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2DB45D8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 đã hình thành TSCĐ giảm khi tính hao mòn TSCĐ hoặc do nhượng bán, thanh lý, phát hiện thiếu khi kiểm kê TSCĐ dùng cho hoạt động văn hoá, phúc lợi.</w:t>
      </w:r>
    </w:p>
    <w:p w14:paraId="7B75DA7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734AE4D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 đã hình thành TSCĐ tăng do đầu tư, mua sắm TSCĐ bằng quỹ phúc lợi hoàn thành đưa vào sử dụng cho hoạt động văn hoá, phúc lợi.</w:t>
      </w:r>
    </w:p>
    <w:p w14:paraId="1B38FAD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Có:</w:t>
      </w:r>
    </w:p>
    <w:p w14:paraId="73FB1C7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quỹ phúc lợi đã hình thành TSCĐ hiện có cuối kỳ.</w:t>
      </w:r>
    </w:p>
    <w:p w14:paraId="0380A4D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hạch toán một số nghiệp vụ kinh tế chủ yếu</w:t>
      </w:r>
    </w:p>
    <w:p w14:paraId="794116E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mua sắm TSCĐ hoàn thành bằng quỹ phúc lợi đưa vào sử dụng cho mục đích văn hoá, phúc lợi của doanh nghiệp, ghi:</w:t>
      </w:r>
    </w:p>
    <w:p w14:paraId="5119C39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TSCĐ (Nguyên giá)</w:t>
      </w:r>
    </w:p>
    <w:p w14:paraId="6470452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241, 331,...</w:t>
      </w:r>
    </w:p>
    <w:p w14:paraId="4219BAD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7021A37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3532 - Quỹ phúc lợi</w:t>
      </w:r>
    </w:p>
    <w:p w14:paraId="558A0D5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3533 - Quỹ phúc lợi đã hình thành TSCĐ.</w:t>
      </w:r>
    </w:p>
    <w:p w14:paraId="2C2F748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niên độ kế toán, tính hao mòn TSCĐ đầu tư, mua sắm bằng quỹ phúc lợi, sử dụng cho nhu cầu văn hóa, phúc lợi của doanh nghiệp, ghi:</w:t>
      </w:r>
    </w:p>
    <w:p w14:paraId="33969E1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w:t>
      </w:r>
    </w:p>
    <w:p w14:paraId="343C790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EFCE29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nhượng bán, thanh lý TSCĐ đầu tư, mua sắm bằng quỹ phúc lợi, dùng vào hoạt động văn hoá, phúc lợi:</w:t>
      </w:r>
    </w:p>
    <w:p w14:paraId="168E29F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giảm TSCĐ nhượng bán, thanh lý:</w:t>
      </w:r>
    </w:p>
    <w:p w14:paraId="66EC40B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3533 – Quỹ phúc lợi đã hình thành TSCĐ (Giá trị còn lại)</w:t>
      </w:r>
    </w:p>
    <w:p w14:paraId="107BACD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73A246F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TSCĐ hữu hình (Nguyên giá)</w:t>
      </w:r>
    </w:p>
    <w:p w14:paraId="338A290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các khoản thu, chi nhượng bán, thanh lý TSCĐ:</w:t>
      </w:r>
    </w:p>
    <w:p w14:paraId="5655F37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ghi:</w:t>
      </w:r>
    </w:p>
    <w:p w14:paraId="3A6B412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353 - Quỹ khen thưởng, phúc lợi (3532)</w:t>
      </w:r>
    </w:p>
    <w:p w14:paraId="3FB046B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334,…</w:t>
      </w:r>
    </w:p>
    <w:p w14:paraId="6895E5D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thu, ghi:</w:t>
      </w:r>
    </w:p>
    <w:p w14:paraId="599F89F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w:t>
      </w:r>
    </w:p>
    <w:p w14:paraId="587D14F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353 - Quỹ khen thưởng, phúc lợi (3532)</w:t>
      </w:r>
    </w:p>
    <w:p w14:paraId="519AE73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(Nếu có).</w:t>
      </w:r>
    </w:p>
    <w:p w14:paraId="3EA59A8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3534 - “Quỹ thưởng ban quản lý điều hành công ty”</w:t>
      </w:r>
    </w:p>
    <w:p w14:paraId="7226DE1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này phản ánh số hiện có, tình hình trích lập và chi tiêu Quỹ thưởng ban quản lý điều hành công ty.</w:t>
      </w:r>
    </w:p>
    <w:p w14:paraId="58226A5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3534 - “Quỹ thưởng ban quản lý điều hành công ty”</w:t>
      </w:r>
    </w:p>
    <w:p w14:paraId="3B56C47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p>
    <w:p w14:paraId="0ABB741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tiêu quỹ thưởng ban quản lý điều hành công ty.</w:t>
      </w:r>
    </w:p>
    <w:p w14:paraId="5461DAB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p>
    <w:p w14:paraId="491187E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thưởng ban quản lý điều hành công ty từ lợi nhuận sau thuế TNDN.</w:t>
      </w:r>
    </w:p>
    <w:p w14:paraId="4098BEA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w:t>
      </w:r>
    </w:p>
    <w:p w14:paraId="3ED6FCE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quỹ thưởng ban quản lý điều hành công ty hiện có cuối kỳ.</w:t>
      </w:r>
    </w:p>
    <w:p w14:paraId="58B1543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hạch toán một số nghiệp vụ kinh tế chủ yếu</w:t>
      </w:r>
    </w:p>
    <w:p w14:paraId="25F9304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Trong năm khi tạm trích Quỹ thưởng ban quản lý điều hành công ty, ghi:</w:t>
      </w:r>
    </w:p>
    <w:p w14:paraId="63BCF8C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w:t>
      </w:r>
    </w:p>
    <w:p w14:paraId="63A0582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3534 - Quỹ thưởng ban quản lý điều hành công ty.</w:t>
      </w:r>
    </w:p>
    <w:p w14:paraId="1962F86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năm, xác định Quỹ thưởng ban quản lý điều hành công ty được trích thêm, ghi:</w:t>
      </w:r>
    </w:p>
    <w:p w14:paraId="04DF992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421 - Lợi nhuận chưa phân phối</w:t>
      </w:r>
    </w:p>
    <w:p w14:paraId="11022C1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3534 - Quỹ thưởng ban quản lý điều hành công ty.</w:t>
      </w:r>
    </w:p>
    <w:p w14:paraId="1B61D1B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dùng Quỹ thưởng ban quản lý điều hành công ty để chi thưởng cho cá nhân, tập thể trong doanh nghiệp, ghi:</w:t>
      </w:r>
    </w:p>
    <w:p w14:paraId="12B7E44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3534 - Quỹ thưởng ban quản lý điều hành công ty</w:t>
      </w:r>
    </w:p>
    <w:p w14:paraId="33BE30F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w:t>
      </w:r>
    </w:p>
    <w:p w14:paraId="226A640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toán Quỹ phát triển khoa học và công nghệ</w:t>
      </w:r>
    </w:p>
    <w:p w14:paraId="668B4B2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Quỹ phát triển khoa học và công nghệ sử dụng tài khoản 356. Tài khoản này dùng để phản ánh số hiện có, tình hình tăng giảm Quỹ phát triển khoa học và công nghệ của doanh nghiệp. Quỹ phát triển khoa học và công nghệ của doanh nghiệp Nhỏ và vừa chỉ được sử dụng cho nghiên cứu phát triển khoa học và công nghệ tại Việt Nam.</w:t>
      </w:r>
    </w:p>
    <w:p w14:paraId="08CE503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Hạch toán tài khoản này phải theo một số nguyên tắc sau</w:t>
      </w:r>
    </w:p>
    <w:p w14:paraId="6DE800E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trích lập và sử dụng Quỹ phát triển khoa học và công nghệ của doanh nghiệp phải tuân thủ theo các quy định của pháp luật.</w:t>
      </w:r>
    </w:p>
    <w:p w14:paraId="7878981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phát triển khoa học và công nghệ được hạch toán vào chi phí quản lý kinh doanh để xác định kết quả kinh doanh trong kỳ. Hàng năm, doanh nghiệp tự xác định mức trích lập và sử dụng Quỹ phát triển khoa học và công nghệ theo quy định của pháp luật.</w:t>
      </w:r>
    </w:p>
    <w:p w14:paraId="456F2D9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phản ánh của tài khoản 356 - “Quỹ phát triển khoa học và công nghệ”</w:t>
      </w:r>
    </w:p>
    <w:p w14:paraId="5534596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Nợ</w:t>
      </w:r>
      <w:r>
        <w:rPr>
          <w:rFonts w:ascii="Arial" w:hAnsi="Arial" w:cs="Arial"/>
          <w:color w:val="000000"/>
          <w:sz w:val="21"/>
          <w:szCs w:val="21"/>
        </w:rPr>
        <w:t>:</w:t>
      </w:r>
    </w:p>
    <w:p w14:paraId="5456F86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tiêu từ Quỹ phát triển khoa học và công nghệ.</w:t>
      </w:r>
    </w:p>
    <w:p w14:paraId="2784201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Quỹ phát triển khoa học và công nghệ đã hình thành tài sản cố định (TSCĐ) khi tính hao mòn TSCĐ, giá trị còn lại của TSCĐ khi nhượng bán, thanh lý, chi phí thanh lý TSCĐ hình thành từ Quỹ phát triển khoa học và công nghệ.</w:t>
      </w:r>
    </w:p>
    <w:p w14:paraId="12CF232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Giảm Quỹ phát triển khoa học và công nghệ đã hình thành TSCĐ khi TSCĐ hình thành từ Quỹ phát triển khoa học và công nghệ chuyển sang phục vụ mục đích sản xuất kinh doanh.</w:t>
      </w:r>
    </w:p>
    <w:p w14:paraId="2F84C6D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Có</w:t>
      </w:r>
      <w:r>
        <w:rPr>
          <w:rFonts w:ascii="Arial" w:hAnsi="Arial" w:cs="Arial"/>
          <w:color w:val="000000"/>
          <w:sz w:val="21"/>
          <w:szCs w:val="21"/>
        </w:rPr>
        <w:t>:</w:t>
      </w:r>
    </w:p>
    <w:p w14:paraId="13CC217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phát triển khoa học và công nghệ tính vào chi phí quản lý kinh doanh.</w:t>
      </w:r>
    </w:p>
    <w:p w14:paraId="192D588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 từ việc thanh lý, nhượng bán TSCĐ hình thành từ Quỹ phát triển khoa học và công nghệ đã dùng cho nghiên cứu phát triển khoa học và công nghệ.</w:t>
      </w:r>
    </w:p>
    <w:p w14:paraId="7BAB168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dư bên Có: </w:t>
      </w:r>
      <w:r>
        <w:rPr>
          <w:rFonts w:ascii="Arial" w:hAnsi="Arial" w:cs="Arial"/>
          <w:color w:val="000000"/>
          <w:sz w:val="21"/>
          <w:szCs w:val="21"/>
        </w:rPr>
        <w:t>Số quỹ phát triển khoa học và công nghệ hiện còn của doanh nghiệp tại thời điểm cuối kỳ báo cáo.</w:t>
      </w:r>
    </w:p>
    <w:p w14:paraId="6D8B215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khoản 356 - Quỹ phát triển khoa học và công nghệ, có 2 tài khoản cấp 2:</w:t>
      </w:r>
    </w:p>
    <w:p w14:paraId="0D89DAC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3561</w:t>
      </w:r>
      <w:r>
        <w:rPr>
          <w:rFonts w:ascii="Arial" w:hAnsi="Arial" w:cs="Arial"/>
          <w:color w:val="000000"/>
          <w:sz w:val="21"/>
          <w:szCs w:val="21"/>
        </w:rPr>
        <w:t> - Quỹ phát triển khoa học và công nghệ: Phản ánh số hiện có và tình hình trích lập, chi tiêu quỹ phát triển khoa học và công nghệ;</w:t>
      </w:r>
    </w:p>
    <w:p w14:paraId="7C9B8AC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khoản 3562</w:t>
      </w:r>
      <w:r>
        <w:rPr>
          <w:rFonts w:ascii="Arial" w:hAnsi="Arial" w:cs="Arial"/>
          <w:color w:val="000000"/>
          <w:sz w:val="21"/>
          <w:szCs w:val="21"/>
        </w:rPr>
        <w:t> - Quỹ phát triển khoa học và công nghệ đã hình thành TSCĐ: Phản ánh số hiện có, tình hình tăng, giảm quỹ phát triển khoa học và công nghệ đã hình thành TSCĐ (Quỹ PTKH&amp;CN đã hình thành TSCĐ).</w:t>
      </w:r>
    </w:p>
    <w:p w14:paraId="7627660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hạch toán kế toán một số nghiệp vụ kinh tế chủ yếu</w:t>
      </w:r>
    </w:p>
    <w:p w14:paraId="608313C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năm khi trích lập Quỹ phát triển khoa học và công nghệ theo chế độ quy định, ghi:</w:t>
      </w:r>
    </w:p>
    <w:p w14:paraId="1F9BB54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642 - Chi phí quản lý kinh doanh (6422)</w:t>
      </w:r>
    </w:p>
    <w:p w14:paraId="33855C4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356 - Quỹ phát triển khoa học và công nghệ.</w:t>
      </w:r>
    </w:p>
    <w:p w14:paraId="1E31C53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chi tiêu Quỹ phát triển khoa học và công nghệ phục vụ cho mục đích nghiên cứu, phát triển khoa học và công nghệ của doanh nghiệp, ghi:</w:t>
      </w:r>
    </w:p>
    <w:p w14:paraId="7667BC5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356 - Quỹ phát triển khoa học và công nghệ</w:t>
      </w:r>
    </w:p>
    <w:p w14:paraId="04B2903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 (nếu có)</w:t>
      </w:r>
    </w:p>
    <w:p w14:paraId="5153194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111, 112, 331…</w:t>
      </w:r>
    </w:p>
    <w:p w14:paraId="7BFE3C7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đầu tư, mua sắm tài sản cố định hoàn thành bằng Quỹ phát triển khoa học và công nghệ sử dụng cho mục đích nghiên cứu, phát triển khoa học và công nghệ, ghi:</w:t>
      </w:r>
    </w:p>
    <w:p w14:paraId="63639D5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211 - Tài sản cố định (Nguyên giá)</w:t>
      </w:r>
    </w:p>
    <w:p w14:paraId="7F97FE4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giá trị gia tăng được khấu trừ (nếu có)</w:t>
      </w:r>
    </w:p>
    <w:p w14:paraId="0502C44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các TK 111, 112, 331…</w:t>
      </w:r>
    </w:p>
    <w:p w14:paraId="5631CE5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ghi:</w:t>
      </w:r>
    </w:p>
    <w:p w14:paraId="4FC67A1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0C466F9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3562 - Quỹ phát triển khoa học và công nghệ đã hình thành TSCĐ.</w:t>
      </w:r>
    </w:p>
    <w:p w14:paraId="0533C64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Cuối kỳ kế toán, tính hao mòn tài sản cố định đầu tư, mua sắm bằng Quỹ phát triển khoa học và công nghệ sử dụng cho mục đích nghiên cứu, phát triển khoa học và công nghệ, ghi:</w:t>
      </w:r>
    </w:p>
    <w:p w14:paraId="2E4A642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phát triển khoa học và công nghệ đã hình thành TSCĐ</w:t>
      </w:r>
    </w:p>
    <w:p w14:paraId="76F0847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214 - Hao mòn TSCĐ.</w:t>
      </w:r>
    </w:p>
    <w:p w14:paraId="04164C0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thanh lý, nhượng bán TSCĐ đầu tư, mua sắm bằng Quỹ phát triển khoa học và công nghệ đã dùng cho nghiên cứu phát triển khoa học và công nghệ:</w:t>
      </w:r>
    </w:p>
    <w:p w14:paraId="666E918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giảm TSCĐ thanh lý, nhượng bán:</w:t>
      </w:r>
    </w:p>
    <w:p w14:paraId="3AD31AE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3562 - Quỹ PTKH&amp;CN đã hình thành TSCĐ (Giá trị còn lại)</w:t>
      </w:r>
    </w:p>
    <w:p w14:paraId="4FBCD93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214 - Hao mòn TSCĐ (Giá trị hao mòn)</w:t>
      </w:r>
    </w:p>
    <w:p w14:paraId="1AE66BD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211 - Tài sản cố định.</w:t>
      </w:r>
    </w:p>
    <w:p w14:paraId="14C34AC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số tiền thu từ việc thanh lý, nhượng bán TSCĐ:</w:t>
      </w:r>
    </w:p>
    <w:p w14:paraId="2317A46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111, 112, 131</w:t>
      </w:r>
    </w:p>
    <w:p w14:paraId="5D0BF36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3561 - Quỹ phát triển khoa học và công nghệ</w:t>
      </w:r>
    </w:p>
    <w:p w14:paraId="2E851E9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43F369D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chi phí phát sinh liên quan trực tiếp đến việc thanh lý, nhượng bán TSCĐ:</w:t>
      </w:r>
    </w:p>
    <w:p w14:paraId="6C300E8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3561 - Quỹ phát triển khoa học và công nghệ</w:t>
      </w:r>
    </w:p>
    <w:p w14:paraId="0AAB594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133 - Thuế GTGT được khấu trừ</w:t>
      </w:r>
    </w:p>
    <w:p w14:paraId="6A8D67E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111, 112, 331.</w:t>
      </w:r>
    </w:p>
    <w:p w14:paraId="4DD760E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kết thúc quá trình nghiên cứu, phát triển khoa học và công nghệ, chuyển TSCĐ hình thành từ Quỹ phát triển khoa học và công nghệ sang phục vụ mục đích sản xuất, kinh doanh, kế toán ghi:</w:t>
      </w:r>
    </w:p>
    <w:p w14:paraId="5AAD7E4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3562 - Quỹ phát triển khoa học và công nghệ đã hình thành TSCĐ</w:t>
      </w:r>
    </w:p>
    <w:p w14:paraId="4CD1FCA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giá trị còn lại của TSCĐ hình thành từ quỹ chưa khấu hao hết)</w:t>
      </w:r>
    </w:p>
    <w:p w14:paraId="2ED749F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143E8A9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TSCĐ chuyển sang phục vụ mục đích sản xuất, kinh doanh, hao mòn của TSCĐ được tính vào chi phí sản xuất kinh doanh theo quy định của chế độ kế toán doanh nghiệp hiện hành.</w:t>
      </w:r>
    </w:p>
    <w:p w14:paraId="3E586DB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 toán Giao dịch mua bán lại trái phiếu Chính phủ</w:t>
      </w:r>
    </w:p>
    <w:p w14:paraId="6177018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Giao dịch mua bán lại trái phiếu Chính phủ sử dụng tài khoản 171. Tài khoản này dùng để phản ánh các giao dịch mua bán lại trái phiếu Chính phủ phát sinh trong kỳ.</w:t>
      </w:r>
    </w:p>
    <w:p w14:paraId="2D82099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cấu, nội dung và phương pháp hạch toán Tài khoản 171 “Giao dịch mua bán lại trái phiếu Chính phủ” được thực hiện theo Thông tư số 206/2009/TT-BTC ngày 27/10/2009 của Bộ Tài chính về hướng dẫn kế toán giao dịch mua bán lại trái phiếu Chính phủ.</w:t>
      </w:r>
    </w:p>
    <w:p w14:paraId="70B670C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Kế toán sản phẩm, hàng hoá, dịch vụ tiêu dùng nội bộ</w:t>
      </w:r>
    </w:p>
    <w:p w14:paraId="2212098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hàng hoá, dịch vụ tiêu dùng nội bộ là sản phẩm, hàng hoá, dịch vụ do cơ sở kinh doanh xuất hoặc cung ứng sử dụng cho tiêu dùng của cơ sở kinh doanh, không bao gồm sản phẩm, hàng hoá, dịch vụ sử dụng để tiếp tục quá trình sản xuất kinh doanh của cơ sở. Việc xác định số thuế GTGT được khấu trừ, thuế GTGT phải nộp và kê khai thuế GTGT, thuế TNDN thực hiện theo quy định của pháp luật về thuế.</w:t>
      </w:r>
    </w:p>
    <w:p w14:paraId="2903EAD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sản phẩm, hàng hoá, dịch vụ thuộc đối tượng chịu thuế GTGT tính theo phương pháp khấu trừ tiêu dùng nội bộ để phục vụ cho sản xuất, kinh doanh hàng hoá, dịch vụ thuộc đối tượng chịu thuế GTGT tính theo phương pháp khấu trừ:</w:t>
      </w:r>
    </w:p>
    <w:p w14:paraId="1655047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dùng sản phẩm, hàng hoá sử dụng nội bộ, ghi:</w:t>
      </w:r>
    </w:p>
    <w:p w14:paraId="5697F75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1EF9408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5B2CD55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hàng nội bộ theo chi phí sản xuất sản phẩm hoặc giá vốn hàng hoá, ghi:</w:t>
      </w:r>
    </w:p>
    <w:p w14:paraId="6201CFE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154, 642 (chi phí sản xuất sản phẩm hoặc giá vốn hàng hoá)</w:t>
      </w:r>
    </w:p>
    <w:p w14:paraId="7A910A6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tiết doanh thu bán hàng nội bộ).</w:t>
      </w:r>
    </w:p>
    <w:p w14:paraId="29493AE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kế toán kê khai thuế GTGT cho sản phẩm, hàng hoá, dịch vụ tiêu dùng nội bộ, ghi:</w:t>
      </w:r>
    </w:p>
    <w:p w14:paraId="7965AB5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Nợ TK 133 - Thuế GTGT được khấu trừ</w:t>
      </w:r>
    </w:p>
    <w:p w14:paraId="4C6A6F3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2A393F5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sản phẩm, hàng hoá, dịch vụ thuộc đối tượng chịu thuế GTGT tính theo phương pháp khấu trừ tiêu dùng nội bộ để phục vụ cho sản xuất, kinh doanh hàng hoá, dịch vụ không thuộc đối tượng chịu thuế GTGT hoặc thuộc đối tượng chịu thuế GTGT tính thuế GTGT theo phương pháp trực tiếp, khi xuất dùng sản phẩm, hàng hoá sử dụng nội bộ, kế toán phản ánh doanh thu bán hàng nội bộ theo chi phí sản xuất sản phẩm hoặc giá vốn hàng hoá, ghi:</w:t>
      </w:r>
    </w:p>
    <w:p w14:paraId="714096F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xuất dùng sản phẩm, hàng hoá sử dụng nội bộ, ghi:</w:t>
      </w:r>
    </w:p>
    <w:p w14:paraId="55EC8D2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632 - Giá vốn hàng bán</w:t>
      </w:r>
    </w:p>
    <w:p w14:paraId="6EF0AC2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TK 155, 156.</w:t>
      </w:r>
    </w:p>
    <w:p w14:paraId="2209F00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doanh thu bán hàng nội bộ theo chi phí sản xuất sản phẩm hoặc giá vốn hàng hoá, ghi:</w:t>
      </w:r>
    </w:p>
    <w:p w14:paraId="7248E59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TK 154, 642… (Chi phí sản xuất sản phẩm hoặc giá vốn hàng hoá cộng (+) thuế GTGT đầu ra)</w:t>
      </w:r>
    </w:p>
    <w:p w14:paraId="719C0D5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511 – Doanh thu bán hàng và cung cấp dịch vụ (Chi phí sản xuất sản phẩm hoặc giá vốn hàng hoá) (Chi tiết doanh thu bán hàng nội bộ)</w:t>
      </w:r>
    </w:p>
    <w:p w14:paraId="0AB9CEC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3331 - Thuế GTGT phải nộp (33311).</w:t>
      </w:r>
    </w:p>
    <w:p w14:paraId="153D827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Kế toán đánh giá lại tài sản khi chuyển đổi hình thức sở hữu doanh nghiệp</w:t>
      </w:r>
    </w:p>
    <w:p w14:paraId="73C35D4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Nhỏ và vừa được phép tiến hành xác định lại giá trị doanh nghiệp tại thời điểm chuyển đổi hình thức sở hữu doanh nghiệp (trừ trường hợp doanh nghiệp 100% vốn nhà nước chuyển thành công ty cổ phần) theo quy định của pháp luật, kế toán ghi nhận chênh lệch đánh giá lại tài sản là thu nhập khác hoặc chi phí khác, ghi:</w:t>
      </w:r>
    </w:p>
    <w:p w14:paraId="28DE80A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giá trị tài sản được đánh giá tăng, ghi:</w:t>
      </w:r>
    </w:p>
    <w:p w14:paraId="7AF9627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các tài khoản liên quan</w:t>
      </w:r>
    </w:p>
    <w:p w14:paraId="4C44A35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TK 711 – Thu nhập khác.</w:t>
      </w:r>
    </w:p>
    <w:p w14:paraId="003A139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phần giá trị tài sản được đánh giá giảm, ghi:</w:t>
      </w:r>
    </w:p>
    <w:p w14:paraId="4F0E9EC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TK 811 – Chi phí khác</w:t>
      </w:r>
    </w:p>
    <w:p w14:paraId="7EED71E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tài khoản liên quan.”</w:t>
      </w:r>
    </w:p>
    <w:p w14:paraId="7638D6E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Một số quy định tại Phần thứ ba - “Hệ thống báo cáo tài chính” được sửa đổi, bổ sung như sau:</w:t>
      </w:r>
    </w:p>
    <w:p w14:paraId="7D99707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(2) khoản 4 Mục I Phần thứ ba “Hệ thống báo cáo tài chính” bổ sung nội dung sau:</w:t>
      </w:r>
    </w:p>
    <w:p w14:paraId="027DBFD6"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Nhỏ và vừa (kể cả các doanh nghiệp trong nước và doanh nghiệp có vốn đầu tư nước ngoài) có trụ sở nằm trong khu chế xuất, khu công nghiệp, khu công nghệ cao thì ngoài việc nộp Báo cáo tài chính năm cho các cơ quan theo quy định (Cơ quan thuế, cơ quan đăng ký kinh doanh, cơ quan thống kê) còn phải nộp Báo cáo tài chính năm cho Ban quản lý khu chế xuất, khu công nghiệp, khu công nghệ cao nếu được yêu cầu.”</w:t>
      </w:r>
    </w:p>
    <w:p w14:paraId="2D35266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Mục I phần thứ ba “Hệ thống báo cáo tài chính” bổ sung nội dung sau:</w:t>
      </w:r>
    </w:p>
    <w:p w14:paraId="6B0FC11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bày báo cáo tài chính khi chuyển đổi hình thức sở hữu doanh nghiệp</w:t>
      </w:r>
    </w:p>
    <w:p w14:paraId="5670A27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Bảng Cân đối kế toán: Toàn bộ số dư tài sản, nợ phải trả và vốn chủ sở hữu kế thừa của doanh nghiệp cũ trước khi chuyển đổi được ghi nhận là số phát sinh của doanh nghiệp mới và được trình bày trong cột “Cuối năm”. Cột “Đầu năm” không có số liệu.</w:t>
      </w:r>
    </w:p>
    <w:p w14:paraId="3A15B820"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Báo cáo Kết quả hoạt động kinh doanh: Chỉ trình bày số liệu kể từ thời điểm chuyển đổi đến cuối kỳ báo cáo đầu tiên trong cột “Năm nay”. Cột “Năm trước” không có số liệu.</w:t>
      </w:r>
    </w:p>
    <w:p w14:paraId="6E4577FE"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Báo cáo Lưu chuyển tiền tệ: Chỉ trình bày số liệu kể từ thời điểm chuyển đổi đến cuối kỳ báo cáo đầu tiên trong cột “Năm nay”. Cột “Năm trước” không có số liệu.”</w:t>
      </w:r>
    </w:p>
    <w:p w14:paraId="7A19395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Sửa đổi, bổ sung một số chỉ tiêu trên Bảng Cân đối kế toán (Mẫu số B01-DNN)</w:t>
      </w:r>
    </w:p>
    <w:p w14:paraId="34B9B85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“Nợ dài hạn” - Mã số 320 trên Bảng cân đối kế toán thành mã số 330 trên Bảng cân đối kế toán.</w:t>
      </w:r>
    </w:p>
    <w:p w14:paraId="53E2A81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“Vay và nợ dài hạn” - Mã số 321 trên Bảng cân đối kế toán thành mã số 331 trên Bảng cân đối kế toán.</w:t>
      </w:r>
    </w:p>
    <w:p w14:paraId="39567DA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“Quỹ dự phòng trợ cấp mất việc làm” - Mã số 322 trên Bảng cân đối kế toán thành mã số 332 trên Bảng cân đối kế toán.</w:t>
      </w:r>
    </w:p>
    <w:p w14:paraId="4620261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“Phải trả, phải nộp dài hạn khác” - Mã số 328 trên Bảng cân đối kế toán thành mã số 338 trên Bảng cân đối kế toán.</w:t>
      </w:r>
    </w:p>
    <w:p w14:paraId="5A625529"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“Dự phòng phải trả dài hạn” - Mã số 329 trên Bảng cân đối kế toán thành mã số 339 trên Bảng cân đối kế toán.</w:t>
      </w:r>
    </w:p>
    <w:p w14:paraId="0969FC0F"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“Quỹ khen thưởng, phúc lợi” - Mã số 430 trên Bảng Cân đối kế toán thành Mã số 323 trên Bảng Cân đối kế toán. Số liệu để ghi vào chỉ tiêu “Quỹ khen thưởng, phúc lợi” là số dư Có của tài khoản 353 - “Quỹ khen thưởng, phúc lợi” trên Sổ Cái hoặc Nhật ký Sổ Cái.</w:t>
      </w:r>
    </w:p>
    <w:p w14:paraId="41F7901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đổi chỉ tiêu “Người mua trả tiền trước” - Mã số 313 trên Bảng Cân đối kế toán. Chỉ tiêu người mua trả tiền trước phản ánh tổng số tiền người mua ứng trước để mua tài sản, hàng hoá, bất động sản đầu tư, dịch vụ tại thời điểm báo cáo. Chỉ tiêu này không phản ánh các khoản doanh thu chưa thực hiện (gồm cả doanh thu nhận trước). Số liệu để ghi vào chỉ tiêu “Người mua trả tiền trước” là số dư Có chi tiết của tài khoản 131 – “Phải thu của khách hàng” mở cho từng khách hàng trên sổ kế toán chi tiết TK 131.</w:t>
      </w:r>
    </w:p>
    <w:p w14:paraId="515F5E27"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“Giao dịch mua bán lại trái phiếu Chính phủ” - Mã số 157 trên Bảng cân đối kế toán. Chỉ tiêu này phản ánh giá trị trái phiếu Chính phủ của bên mua khi chưa kết thúc thời hạn hợp đồng mua bán lại tại thời điểm báo cáo. Số liệu để ghi vào chỉ tiêu “Giao dịch mua bán lại trái phiếu Chính phủ” là số dư nợ của Tài khoản 171 - Giao dịch mua bán lại trái phiếu Chính phủ trên sổ kế toán chi tiết TK 171.</w:t>
      </w:r>
    </w:p>
    <w:p w14:paraId="52ABE6E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“Giao dịch mua bán lại trái phiếu Chính phủ” - Mã số 327 trên Bảng cân đối kế toán. Chỉ tiêu này phản ánh giá trị trái phiếu Chính phủ của bên bán khi chưa kết thúc thời hạn hợp đồng mua bán lại tại thời điểm báo cáo. Số liệu để ghi vào chỉ tiêu “Giao dịch mua bán lại trái phiếu Chính phủ” là số dư có của Tài khoản 171 - Giao dịch mua bán lại trái phiếu Chính phủ trên sổ kế toán chi tiết TK 171.</w:t>
      </w:r>
    </w:p>
    <w:p w14:paraId="27C69CAA"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“Doanh thu chưa thực hiện ngắn hạn” - Mã số 328 trên Bảng Cân đối kế toán. Chỉ tiêu này phản ánh các khoản doanh thu chưa thực hiện ngắn hạn tại thời điểm báo cáo. Số liệu để ghi vào chỉ tiêu “Doanh thu chưa thực hiện ngắn hạn” là số dư Có của tài khoản 3387 - “Doanh thu chưa thực hiện” trên sổ kế toán chi tiết TK 3387 (Số doanh thu chưa thực hiện có thời hạn chuyển thành doanh thu thực hiện trong vòng 12 tháng tới).</w:t>
      </w:r>
    </w:p>
    <w:p w14:paraId="0974F0B1"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Đổi mã số chỉ tiêu “Dự phòng phải trả ngắn hạn” - Mã số 319 trên Bảng Cân đối kế toán thành mã số 329.</w:t>
      </w:r>
    </w:p>
    <w:p w14:paraId="66425BF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“Doanh thu chưa thực hiện dài hạn” - Mã số 334 trên Bảng Cân đối kế toán. Chỉ tiêu này phản ánh các khoản doanh thu chưa thực hiện dài hạn tại thời điểm báo cáo. Số liệu để ghi vào chỉ tiêu “Doanh thu chưa thực hiện dài hạn” là số dư Có của tài khoản 3387 - “Doanh thu chưa thực hiện” trên sổ kế toán chi tiết TK 3387 (Số doanh thu chưa thực hiện có thời hạn chuyển thành doanh thu thực hiện trên 12 tháng hoặc bằng tổng số dư có TK 3387 - “Doanh thu chưa thực hiện” trừ (-) số doanh thu chưa thực hiện ngắn hạn phản ánh ở chỉ tiêu 328).</w:t>
      </w:r>
    </w:p>
    <w:p w14:paraId="1ACFE0C3"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chỉ tiêu “Quỹ phát triển khoa học và công nghệ” - Mã số 336 trên Bảng Cân đối kế toán. Chỉ tiêu này phản ánh Quỹ phát triển khoa học và công nghệ chưa sử dụng tại thời điểm báo cáo. Số liệu để ghi vào chỉ tiêu “Quỹ phát triển khoa học và công nghệ” là số dư Có của tài khoản 356 - “Quỹ phát triển khoa học và công nghệ” trên Sổ kế toán tài khoản 356.</w:t>
      </w:r>
    </w:p>
    <w:p w14:paraId="33EE693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Sửa đổi, bổ sung một số chỉ tiêu trên Báo cáo Lưu chuyển tiền tệ (Mẫu số B03-DNN)</w:t>
      </w:r>
    </w:p>
    <w:p w14:paraId="5C481F2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Tiền thu bán trái phiếu Chính phủ theo hợp đồng mua, bán lại (Repo) được phản ánh vào chỉ tiêu “Tiền vay ngắn hạn, dài hạn nhận được” (Mã số 33);</w:t>
      </w:r>
    </w:p>
    <w:p w14:paraId="55E0EF4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thanh toán mua/mua lại trái phiếu Chính phủ theo hợp đồng mua, bán lại (Repo) được phản ánh vào chỉ tiêu “Tiền chi trả nợ gốc vay” (Mã số 34).</w:t>
      </w:r>
    </w:p>
    <w:p w14:paraId="3147EF74"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Điểm (1) và (2) khoản 5 Mục III - Thuyết minh báo cáo tài chính (Mẫu số B09-DNN) được sửa đổi, bổ sung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2"/>
        <w:gridCol w:w="934"/>
        <w:gridCol w:w="922"/>
        <w:gridCol w:w="934"/>
        <w:gridCol w:w="922"/>
      </w:tblGrid>
      <w:tr w:rsidR="009A3339" w14:paraId="752C2B5E" w14:textId="77777777" w:rsidTr="009A3339">
        <w:trPr>
          <w:tblCellSpacing w:w="0" w:type="dxa"/>
        </w:trPr>
        <w:tc>
          <w:tcPr>
            <w:tcW w:w="55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F043"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 Các khoản đầu tư tài chính ngắn hạn:</w:t>
            </w:r>
          </w:p>
        </w:tc>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2F9E2"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năm</w:t>
            </w:r>
          </w:p>
        </w:tc>
        <w:tc>
          <w:tcPr>
            <w:tcW w:w="18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07C7"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năm</w:t>
            </w:r>
          </w:p>
        </w:tc>
      </w:tr>
      <w:tr w:rsidR="009A3339" w14:paraId="518109AF" w14:textId="77777777" w:rsidTr="009A333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889954" w14:textId="77777777" w:rsidR="009A3339" w:rsidRDefault="009A3339">
            <w:pPr>
              <w:spacing w:line="375" w:lineRule="atLeast"/>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EFFD0"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8F4D"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546B"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93F60"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9A3339" w14:paraId="7F7223B4"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D672C"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phiếu đầu tư ngắn hạn (chi tiết cho từng loại cổ phiếu)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F2B4"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B69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7D9D"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DEEF"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74785AE8"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A906"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Trái phiếu đầu tư ngắn hạn (chi tiết cho từng loại trái phiếu)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361A"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650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9DDF"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54AEE"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59A42D06"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7D4D"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ngắn hạn khác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D91B"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8407"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C241"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1CEB"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5A24C128"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2E3A"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giảm giá đầu tư ngắn hạn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21E4"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F1DC"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54A15"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D435"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2C1324DD"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2F572"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đầu tư tài chính dài hạn: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EEF0E"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C15B"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8EA8"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B1A1" w14:textId="77777777" w:rsidR="009A3339" w:rsidRDefault="009A3339">
            <w:pPr>
              <w:pStyle w:val="NormalWeb"/>
              <w:spacing w:after="90" w:afterAutospacing="0" w:line="345" w:lineRule="atLeast"/>
              <w:jc w:val="both"/>
              <w:rPr>
                <w:rFonts w:ascii="Arial" w:hAnsi="Arial" w:cs="Arial"/>
                <w:color w:val="000000"/>
                <w:sz w:val="21"/>
                <w:szCs w:val="21"/>
              </w:rPr>
            </w:pPr>
          </w:p>
        </w:tc>
      </w:tr>
      <w:tr w:rsidR="009A3339" w14:paraId="7C504899"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EEAD"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vào công ty liên kết, liên doanh (Chi tiết cho từng công ty liên kết, cơ sở liên doanh)</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64C1F"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230C"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43868"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DEB2"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41A807F2"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123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dài hạn khác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97F9"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F11CF"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B10AE"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BE549" w14:textId="77777777" w:rsidR="009A3339" w:rsidRDefault="009A3339">
            <w:pPr>
              <w:pStyle w:val="NormalWeb"/>
              <w:spacing w:after="90" w:afterAutospacing="0" w:line="345" w:lineRule="atLeast"/>
              <w:jc w:val="both"/>
              <w:rPr>
                <w:rFonts w:ascii="Arial" w:hAnsi="Arial" w:cs="Arial"/>
                <w:color w:val="000000"/>
                <w:sz w:val="21"/>
                <w:szCs w:val="21"/>
              </w:rPr>
            </w:pPr>
          </w:p>
        </w:tc>
      </w:tr>
      <w:tr w:rsidR="009A3339" w14:paraId="0645B117"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B471"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cổ phiếu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319D"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4105A"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2F0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BF8D4"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6BBD07BD"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6B3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trái phiếu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F43E"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C643"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ED15"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F1F4"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0906AFEE"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EBF4B"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tín phiếu, kỳ phiếu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6DCB"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04E0"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D03A"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62C85"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9A3339" w14:paraId="05C20674" w14:textId="77777777" w:rsidTr="009A3339">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E71F"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 dài hạn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69CD"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B9A2"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365BA" w14:textId="77777777" w:rsidR="009A3339" w:rsidRDefault="009A3339">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5D4C" w14:textId="77777777" w:rsidR="009A3339" w:rsidRDefault="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7F7E3B72"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Mục I Phần thứ năm “Chế độ sổ kế toán” bổ sung nội dung sau:</w:t>
      </w:r>
    </w:p>
    <w:p w14:paraId="28BB842B"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Chuyển đổi số dư trên sổ kế toán khi chuyển đổi hình thức sở hữu:</w:t>
      </w:r>
    </w:p>
    <w:p w14:paraId="3CCA33E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chuyển đổi hình thức sở hữu, doanh nghiệp Nhỏ và vừa phải tiến hành khoá sổ kế toán theo quy định của pháp luật. Trong kỳ kế toán đầu tiên sau khi chuyển đổi, doanh nghiệp phải ghi sổ kế toán theo nguyên tắc sau:</w:t>
      </w:r>
    </w:p>
    <w:p w14:paraId="3436B77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sổ kế toán phản ánh tài sản, nợ phải trả và vốn chủ sở hữu: Toàn bộ số dư tài sản, nợ phải trả và vốn chủ sở hữu trên sổ kế toán của doanh nghiệp cũ được ghi nhận là số phát sinh </w:t>
      </w:r>
      <w:r>
        <w:rPr>
          <w:rFonts w:ascii="Arial" w:hAnsi="Arial" w:cs="Arial"/>
          <w:color w:val="000000"/>
          <w:sz w:val="21"/>
          <w:szCs w:val="21"/>
        </w:rPr>
        <w:lastRenderedPageBreak/>
        <w:t>trên sổ kế toán của doanh nghiệp mới. Dòng số dư đầu kỳ trên sổ kế toán của doanh nghiệp mới không có số liệu.”</w:t>
      </w:r>
    </w:p>
    <w:p w14:paraId="3228CB5C"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Tổ chức thực hiện</w:t>
      </w:r>
    </w:p>
    <w:p w14:paraId="620E69AD"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bắt đầu từ ngày 01 tháng 01 năm 2012. Những phần kế toán doanh nghiệp nhỏ và vừa khác không được sửa đổi, bổ sung tại Thông tư này thì thực hiện theo Chế độ kế toán Doanh nghiệp nhỏ và vừa ban hành theo Quyết định số </w:t>
      </w:r>
      <w:hyperlink r:id="rId11" w:tgtFrame="_blank" w:history="1">
        <w:r>
          <w:rPr>
            <w:rStyle w:val="Hyperlink"/>
            <w:rFonts w:ascii="Arial" w:hAnsi="Arial" w:cs="Arial"/>
            <w:color w:val="135ECD"/>
            <w:sz w:val="21"/>
            <w:szCs w:val="21"/>
          </w:rPr>
          <w:t>48/2006/QĐ-BTC</w:t>
        </w:r>
      </w:hyperlink>
      <w:r>
        <w:rPr>
          <w:rFonts w:ascii="Arial" w:hAnsi="Arial" w:cs="Arial"/>
          <w:color w:val="000000"/>
          <w:sz w:val="21"/>
          <w:szCs w:val="21"/>
        </w:rPr>
        <w:t> ngày 14/9/2006 của Bộ trưởng Bộ Tài chính. Những nội dung quy định tại Chế độ kế toán doanh nghiệp nhỏ và vừa ban hành theo Quyết định 48/2006/QĐ-BTC trái với quy định tại Thông tư này thì thực hiện theo quy định tại Thông tư này.</w:t>
      </w:r>
    </w:p>
    <w:p w14:paraId="5DF90935"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Thuế các tỉnh, thành phố trực thuộc Trung ương phối hợp với các ngành có liên quan giúp Uỷ ban nhân dân tỉnh, thành phố trực thuộc Trung ương hướng dẫn và kiểm tra thực hiện Chế độ kế toán Doanh nghiệp nhỏ và vừa ở các đơn vị trên địa bàn quản lý.</w:t>
      </w:r>
    </w:p>
    <w:p w14:paraId="35E31DA8" w14:textId="77777777" w:rsidR="009A3339" w:rsidRDefault="009A3339" w:rsidP="009A33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trưởng Vụ Chế độ kế toán và Kiểm toán, Tổng cục trưởng Tổng cục thuế, Chánh Văn phòng Bộ, Cục trưởng Cục tài chính doanh nghiệp và Thủ trưởng các đơn vị có liên quan chịu trách nhiệm hướng dẫn, kiểm tra và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4"/>
        <w:gridCol w:w="3960"/>
      </w:tblGrid>
      <w:tr w:rsidR="009A3339" w14:paraId="00EC00C6" w14:textId="77777777" w:rsidTr="009A3339">
        <w:trPr>
          <w:tblCellSpacing w:w="0" w:type="dxa"/>
        </w:trPr>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582FB" w14:textId="77777777" w:rsidR="009A3339" w:rsidRDefault="009A3339" w:rsidP="009A333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TW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Các Bộ, cơ quan ngang Bộ;</w:t>
            </w:r>
            <w:r>
              <w:rPr>
                <w:rFonts w:ascii="Arial" w:hAnsi="Arial" w:cs="Arial"/>
                <w:color w:val="000000"/>
                <w:sz w:val="21"/>
                <w:szCs w:val="21"/>
              </w:rPr>
              <w:br/>
              <w:t>- Toà án NDTC;</w:t>
            </w:r>
            <w:r>
              <w:rPr>
                <w:rFonts w:ascii="Arial" w:hAnsi="Arial" w:cs="Arial"/>
                <w:color w:val="000000"/>
                <w:sz w:val="21"/>
                <w:szCs w:val="21"/>
              </w:rPr>
              <w:br/>
              <w:t>- Viện Kiểm sát NDTC;</w:t>
            </w:r>
            <w:r>
              <w:rPr>
                <w:rFonts w:ascii="Arial" w:hAnsi="Arial" w:cs="Arial"/>
                <w:color w:val="000000"/>
                <w:sz w:val="21"/>
                <w:szCs w:val="21"/>
              </w:rPr>
              <w:br/>
              <w:t>- Kiểm toán Nhà nước;</w:t>
            </w:r>
            <w:r>
              <w:rPr>
                <w:rFonts w:ascii="Arial" w:hAnsi="Arial" w:cs="Arial"/>
                <w:color w:val="000000"/>
                <w:sz w:val="21"/>
                <w:szCs w:val="21"/>
              </w:rPr>
              <w:br/>
              <w:t>- UBND tỉnh, thành phố trực thuộc TW;</w:t>
            </w:r>
            <w:r>
              <w:rPr>
                <w:rFonts w:ascii="Arial" w:hAnsi="Arial" w:cs="Arial"/>
                <w:color w:val="000000"/>
                <w:sz w:val="21"/>
                <w:szCs w:val="21"/>
              </w:rPr>
              <w:br/>
              <w:t>- Cơ quan TW của các đoàn thể;</w:t>
            </w:r>
            <w:r>
              <w:rPr>
                <w:rFonts w:ascii="Arial" w:hAnsi="Arial" w:cs="Arial"/>
                <w:color w:val="000000"/>
                <w:sz w:val="21"/>
                <w:szCs w:val="21"/>
              </w:rPr>
              <w:br/>
              <w:t>- Cục Kiểm tra văn bản - Bộ Tư pháp;</w:t>
            </w:r>
            <w:r>
              <w:rPr>
                <w:rFonts w:ascii="Arial" w:hAnsi="Arial" w:cs="Arial"/>
                <w:color w:val="000000"/>
                <w:sz w:val="21"/>
                <w:szCs w:val="21"/>
              </w:rPr>
              <w:br/>
              <w:t>- Sở Tài chính, Cục Thuế các tỉnh; thành phố trực thuộc TW;</w:t>
            </w:r>
            <w:r>
              <w:rPr>
                <w:rFonts w:ascii="Arial" w:hAnsi="Arial" w:cs="Arial"/>
                <w:color w:val="000000"/>
                <w:sz w:val="21"/>
                <w:szCs w:val="21"/>
              </w:rPr>
              <w:br/>
              <w:t>- Công báo;</w:t>
            </w:r>
            <w:r>
              <w:rPr>
                <w:rFonts w:ascii="Arial" w:hAnsi="Arial" w:cs="Arial"/>
                <w:color w:val="000000"/>
                <w:sz w:val="21"/>
                <w:szCs w:val="21"/>
              </w:rPr>
              <w:br/>
              <w:t>- Vụ Pháp chế - Bộ Tài chính;</w:t>
            </w:r>
            <w:r>
              <w:rPr>
                <w:rFonts w:ascii="Arial" w:hAnsi="Arial" w:cs="Arial"/>
                <w:color w:val="000000"/>
                <w:sz w:val="21"/>
                <w:szCs w:val="21"/>
              </w:rPr>
              <w:br/>
              <w:t>- Các đơn vị thuộc Bộ Tài chính;</w:t>
            </w:r>
            <w:r>
              <w:rPr>
                <w:rFonts w:ascii="Arial" w:hAnsi="Arial" w:cs="Arial"/>
                <w:color w:val="000000"/>
                <w:sz w:val="21"/>
                <w:szCs w:val="21"/>
              </w:rPr>
              <w:br/>
              <w:t>- Website Bộ Tài chính;</w:t>
            </w:r>
            <w:r>
              <w:rPr>
                <w:rFonts w:ascii="Arial" w:hAnsi="Arial" w:cs="Arial"/>
                <w:color w:val="000000"/>
                <w:sz w:val="21"/>
                <w:szCs w:val="21"/>
              </w:rPr>
              <w:br/>
              <w:t>- Lưu: VT, Vụ CĐKT.</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EC5EE" w14:textId="77777777" w:rsidR="009A3339" w:rsidRDefault="009A33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Xuân Hà</w:t>
            </w:r>
          </w:p>
        </w:tc>
      </w:tr>
    </w:tbl>
    <w:p w14:paraId="57B992D3" w14:textId="77777777" w:rsidR="00E84537" w:rsidRPr="009A3339" w:rsidRDefault="00E84537" w:rsidP="009A3339"/>
    <w:sectPr w:rsidR="00E84537" w:rsidRPr="009A333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0744F"/>
    <w:rsid w:val="005743D0"/>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D011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23-2008-nd-cp-cua-chinh-phu-ve-viec-quy-dinh-chi-tiet-va-huong-dan-thi-hanh-mot-so-dieu-cua-luat-thue-gia-tri-gia-tang.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nghi-dinh-so-56-2009-nd-cp-ve-tro-giup-phat-trien-doanh-nghiep-nho-va-vua.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so-118-2008-nd-cp-cua-chinh-phu---quy-dinh-chuc-nang--nhiem-vu--quyen-han-va-co-cau-to-chuc-cua-bo-tai-chinh.aspx" TargetMode="External"/><Relationship Id="rId11" Type="http://schemas.openxmlformats.org/officeDocument/2006/relationships/hyperlink" Target="https://admin.luatminhkhue.vn/van-ban/quyet-dinh-so-48-2006-qd-btc-ban-hanh-che-do-ke-toan-doanh-nghiep-nho-va-vua.aspx" TargetMode="External"/><Relationship Id="rId5" Type="http://schemas.openxmlformats.org/officeDocument/2006/relationships/hyperlink" Target="https://admin.luatminhkhue.vn/van-ban/nghi-dinh-129-2004-nd-cp.aspx" TargetMode="External"/><Relationship Id="rId10" Type="http://schemas.openxmlformats.org/officeDocument/2006/relationships/hyperlink" Target="https://admin.luatminhkhue.vn/van-ban/quyet-dinh-so-48-2006-qd-btc-ban-hanh-che-do-ke-toan-doanh-nghiep-nho-va-vua.aspx" TargetMode="External"/><Relationship Id="rId4" Type="http://schemas.openxmlformats.org/officeDocument/2006/relationships/hyperlink" Target="https://admin.luatminhkhue.vn/van-ban/luat-ke-toan-nam-2003.aspx" TargetMode="External"/><Relationship Id="rId9" Type="http://schemas.openxmlformats.org/officeDocument/2006/relationships/hyperlink" Target="https://admin.luatminhkhue.vn/van-ban/nghi-dinh-so-124-2008-nd-cp-cua-chinh-phu---quy-dinh-chi-tiet-va-huong-dan-thi-hanh-mot-so-dieu-cua-luat-thue-thu-nhap-doanh-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5109</Words>
  <Characters>29126</Characters>
  <Application>Microsoft Office Word</Application>
  <DocSecurity>0</DocSecurity>
  <Lines>242</Lines>
  <Paragraphs>68</Paragraphs>
  <ScaleCrop>false</ScaleCrop>
  <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2024-12-11T16:15:00Z</dcterms:created>
  <dcterms:modified xsi:type="dcterms:W3CDTF">2024-12-22T18:55:00Z</dcterms:modified>
</cp:coreProperties>
</file>