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15" w:type="dxa"/>
        <w:shd w:val="clear" w:color="auto" w:fill="FFFFFF"/>
        <w:tblCellMar>
          <w:left w:w="0" w:type="dxa"/>
          <w:right w:w="0" w:type="dxa"/>
        </w:tblCellMar>
        <w:tblLook w:val="04A0" w:firstRow="1" w:lastRow="0" w:firstColumn="1" w:lastColumn="0" w:noHBand="0" w:noVBand="1"/>
      </w:tblPr>
      <w:tblGrid>
        <w:gridCol w:w="3322"/>
        <w:gridCol w:w="6120"/>
      </w:tblGrid>
      <w:tr w:rsidR="000F3001" w:rsidRPr="000F3001" w14:paraId="5F54B424" w14:textId="77777777" w:rsidTr="000F3001">
        <w:trPr>
          <w:tblCellSpacing w:w="15" w:type="dxa"/>
        </w:trPr>
        <w:tc>
          <w:tcPr>
            <w:tcW w:w="3277" w:type="dxa"/>
            <w:shd w:val="clear" w:color="auto" w:fill="FFFFFF"/>
            <w:tcMar>
              <w:top w:w="30" w:type="dxa"/>
              <w:left w:w="30" w:type="dxa"/>
              <w:bottom w:w="30" w:type="dxa"/>
              <w:right w:w="30" w:type="dxa"/>
            </w:tcMar>
            <w:vAlign w:val="center"/>
            <w:hideMark/>
          </w:tcPr>
          <w:p w14:paraId="0316D08A"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CHÍNH PHỦ</w:t>
            </w:r>
            <w:r w:rsidRPr="000F3001">
              <w:rPr>
                <w:rFonts w:ascii="Times New Roman" w:hAnsi="Times New Roman" w:cs="Times New Roman"/>
              </w:rPr>
              <w:br/>
              <w:t>******</w:t>
            </w:r>
          </w:p>
        </w:tc>
        <w:tc>
          <w:tcPr>
            <w:tcW w:w="6075" w:type="dxa"/>
            <w:shd w:val="clear" w:color="auto" w:fill="FFFFFF"/>
            <w:tcMar>
              <w:top w:w="30" w:type="dxa"/>
              <w:left w:w="30" w:type="dxa"/>
              <w:bottom w:w="30" w:type="dxa"/>
              <w:right w:w="30" w:type="dxa"/>
            </w:tcMar>
            <w:vAlign w:val="center"/>
            <w:hideMark/>
          </w:tcPr>
          <w:p w14:paraId="1D4AF2E3"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CỘNG HOÀ XÃ HỘI CHỦ NGHĨA VIỆT NAM</w:t>
            </w:r>
            <w:r w:rsidRPr="000F3001">
              <w:rPr>
                <w:rFonts w:ascii="Times New Roman" w:hAnsi="Times New Roman" w:cs="Times New Roman"/>
                <w:b/>
                <w:bCs/>
              </w:rPr>
              <w:br/>
              <w:t>Độc lập - Tự do - Hạnh phúc</w:t>
            </w:r>
            <w:r w:rsidRPr="000F3001">
              <w:rPr>
                <w:rFonts w:ascii="Times New Roman" w:hAnsi="Times New Roman" w:cs="Times New Roman"/>
              </w:rPr>
              <w:br/>
              <w:t>********</w:t>
            </w:r>
          </w:p>
        </w:tc>
      </w:tr>
      <w:tr w:rsidR="000F3001" w:rsidRPr="000F3001" w14:paraId="3B89D5B6" w14:textId="77777777" w:rsidTr="000F3001">
        <w:trPr>
          <w:tblCellSpacing w:w="15" w:type="dxa"/>
        </w:trPr>
        <w:tc>
          <w:tcPr>
            <w:tcW w:w="3277" w:type="dxa"/>
            <w:shd w:val="clear" w:color="auto" w:fill="FFFFFF"/>
            <w:tcMar>
              <w:top w:w="30" w:type="dxa"/>
              <w:left w:w="30" w:type="dxa"/>
              <w:bottom w:w="30" w:type="dxa"/>
              <w:right w:w="30" w:type="dxa"/>
            </w:tcMar>
            <w:vAlign w:val="center"/>
            <w:hideMark/>
          </w:tcPr>
          <w:p w14:paraId="4F8FBECA"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Số: 131/2005/NĐ-CP</w:t>
            </w:r>
          </w:p>
        </w:tc>
        <w:tc>
          <w:tcPr>
            <w:tcW w:w="6075" w:type="dxa"/>
            <w:shd w:val="clear" w:color="auto" w:fill="FFFFFF"/>
            <w:tcMar>
              <w:top w:w="30" w:type="dxa"/>
              <w:left w:w="30" w:type="dxa"/>
              <w:bottom w:w="30" w:type="dxa"/>
              <w:right w:w="30" w:type="dxa"/>
            </w:tcMar>
            <w:vAlign w:val="center"/>
            <w:hideMark/>
          </w:tcPr>
          <w:p w14:paraId="589732EF" w14:textId="77777777" w:rsidR="000F3001" w:rsidRPr="000F3001" w:rsidRDefault="000F3001" w:rsidP="000F3001">
            <w:pPr>
              <w:jc w:val="right"/>
              <w:rPr>
                <w:rFonts w:ascii="Times New Roman" w:hAnsi="Times New Roman" w:cs="Times New Roman"/>
              </w:rPr>
            </w:pPr>
            <w:r w:rsidRPr="000F3001">
              <w:rPr>
                <w:rFonts w:ascii="Times New Roman" w:hAnsi="Times New Roman" w:cs="Times New Roman"/>
                <w:i/>
                <w:iCs/>
              </w:rPr>
              <w:t>Hà Nội, ngày 18 tháng 10 năm 2005 </w:t>
            </w:r>
          </w:p>
        </w:tc>
      </w:tr>
    </w:tbl>
    <w:p w14:paraId="31D88D9F" w14:textId="77777777" w:rsidR="000F3001" w:rsidRPr="000F3001" w:rsidRDefault="000F3001" w:rsidP="000F3001">
      <w:pPr>
        <w:rPr>
          <w:rFonts w:ascii="Times New Roman" w:hAnsi="Times New Roman" w:cs="Times New Roman"/>
        </w:rPr>
      </w:pPr>
    </w:p>
    <w:p w14:paraId="5BBDD2D1"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NGHỊ ĐỊNH</w:t>
      </w:r>
    </w:p>
    <w:p w14:paraId="1C4D95C3"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VỀ VIỆC SỬA ĐỔI, BỔ SUNG MỘT SỐ ĐIỀU CỦA NGHỊ ĐỊNH SỐ 63/1998/NĐ-CP NGÀY 17 THÁNG 8 NĂM 1998 CỦA CHÍNH PHỦ VỀ QUẢN LÝ NGOẠI HỐI</w:t>
      </w:r>
    </w:p>
    <w:p w14:paraId="67771AA7"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CHÍNH PHỦ</w:t>
      </w:r>
    </w:p>
    <w:p w14:paraId="5F465713" w14:textId="77777777" w:rsidR="000F3001" w:rsidRPr="000F3001" w:rsidRDefault="000F3001" w:rsidP="000F3001">
      <w:pPr>
        <w:rPr>
          <w:rFonts w:ascii="Times New Roman" w:hAnsi="Times New Roman" w:cs="Times New Roman"/>
        </w:rPr>
      </w:pPr>
      <w:r w:rsidRPr="000F3001">
        <w:rPr>
          <w:rFonts w:ascii="Times New Roman" w:hAnsi="Times New Roman" w:cs="Times New Roman"/>
          <w:i/>
          <w:iCs/>
        </w:rPr>
        <w:t>Căn cứ Luật Tổ chức Chính phủ ngày 25 tháng 12 năm 2001;</w:t>
      </w:r>
      <w:r w:rsidRPr="000F3001">
        <w:rPr>
          <w:rFonts w:ascii="Times New Roman" w:hAnsi="Times New Roman" w:cs="Times New Roman"/>
          <w:i/>
          <w:iCs/>
        </w:rPr>
        <w:br/>
        <w:t>Căn cứ Luật Ngân hàng Nhà nước Việt Nam số 01/1997/QH10 ngày 12 tháng 12 năm 1997 và Luật sửa đổi, bổ sung một số điều của Luật Ngân hàng Nhà nước Việt Nam số 10/2003/QH11 ngày 17 tháng 6 năm 2003;</w:t>
      </w:r>
      <w:r w:rsidRPr="000F3001">
        <w:rPr>
          <w:rFonts w:ascii="Times New Roman" w:hAnsi="Times New Roman" w:cs="Times New Roman"/>
          <w:i/>
          <w:iCs/>
        </w:rPr>
        <w:br/>
        <w:t>Theo đề nghị của Thống đốc Ngân hàng Nhà nước Việt Nam,</w:t>
      </w:r>
    </w:p>
    <w:p w14:paraId="28876F03"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t>NGHỊ ĐỊNH:</w:t>
      </w:r>
    </w:p>
    <w:p w14:paraId="6EBA8A46" w14:textId="77777777" w:rsidR="000F3001" w:rsidRPr="000F3001" w:rsidRDefault="000F3001" w:rsidP="000F3001">
      <w:pPr>
        <w:rPr>
          <w:rFonts w:ascii="Times New Roman" w:hAnsi="Times New Roman" w:cs="Times New Roman"/>
        </w:rPr>
      </w:pPr>
      <w:r w:rsidRPr="000F3001">
        <w:rPr>
          <w:rFonts w:ascii="Times New Roman" w:hAnsi="Times New Roman" w:cs="Times New Roman"/>
          <w:b/>
          <w:bCs/>
        </w:rPr>
        <w:t>Điều 1. Sửa đổi, bổ sung một số điều của Nghị định số 63/1998/NĐ-CP ngày 17 tháng 8 năm 1998 của Chính phủ như sau:</w:t>
      </w:r>
    </w:p>
    <w:p w14:paraId="05578483"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1. Chương III (các giao dịch vãng lai) được bổ sung thêm Điều 11.a. như sau:</w:t>
      </w:r>
    </w:p>
    <w:p w14:paraId="09834A6B"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"Điều 11.a. Nguyên tắc tự do hoá các giao dịch vãng lai.</w:t>
      </w:r>
    </w:p>
    <w:p w14:paraId="0CCAA086"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Trên lãnh thổ Việt Nam, các khoản thanh toán và chuyển tiền đối với các giao dịch vãng lai được tự do thực hiện".</w:t>
      </w:r>
    </w:p>
    <w:p w14:paraId="547CEA41"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2. Khoản 11 Điều 4 được sửa đổi, bổ sung như sau:</w:t>
      </w:r>
    </w:p>
    <w:p w14:paraId="57339495"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"11. Thanh toán và chuyển tiền cho các giao dịch quốc tế vãng lai trong Nghị định này bao gồm:</w:t>
      </w:r>
    </w:p>
    <w:p w14:paraId="70D7F137"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a) Các khoản thanh toán liên quan đến xuất, nhập khẩu hàng hoá, dịch vụ, các giao dịch vãng lai khác, các khoản vay tín dụng và ngân hàng ngắn hạn;</w:t>
      </w:r>
    </w:p>
    <w:p w14:paraId="274DCA10"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b) Các khoản thanh toán cho thu nhập ròng từ đầu tư trực tiếp và gián tiếp, khấu hao vốn đầu tư trực tiếp (nếu áp dụng);</w:t>
      </w:r>
    </w:p>
    <w:p w14:paraId="6E4D7DAF"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c) Các khoản thanh toán tiền lãi và trả dần nợ gốc của khoản vay nước ngoài;</w:t>
      </w:r>
    </w:p>
    <w:p w14:paraId="2DDB936B"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d) Các khoản chuyển tiền một chiều cho mục đích tiêu dùng và các giao dịch tương tự khác".</w:t>
      </w:r>
    </w:p>
    <w:p w14:paraId="5BB338A0"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3. Điều 14 được sửa đổi, bổ sung như sau:</w:t>
      </w:r>
    </w:p>
    <w:p w14:paraId="05903A47" w14:textId="77777777" w:rsidR="000F3001" w:rsidRPr="000F3001" w:rsidRDefault="000F3001" w:rsidP="000F3001">
      <w:pPr>
        <w:rPr>
          <w:rFonts w:ascii="Times New Roman" w:hAnsi="Times New Roman" w:cs="Times New Roman"/>
        </w:rPr>
      </w:pPr>
      <w:r w:rsidRPr="000F3001">
        <w:rPr>
          <w:rFonts w:ascii="Times New Roman" w:hAnsi="Times New Roman" w:cs="Times New Roman"/>
          <w:b/>
          <w:bCs/>
        </w:rPr>
        <w:lastRenderedPageBreak/>
        <w:t>"</w:t>
      </w:r>
      <w:r w:rsidRPr="000F3001">
        <w:rPr>
          <w:rFonts w:ascii="Times New Roman" w:hAnsi="Times New Roman" w:cs="Times New Roman"/>
        </w:rPr>
        <w:t>Điều 14. Chuyển tiền một chiều từ Việt Nam ra nước ngoài trong các giao dịch vãng lai.</w:t>
      </w:r>
    </w:p>
    <w:p w14:paraId="09187BB4"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1. Người không cư trú và người cư trú được mua, chuyển, mang ngoại tệ ra nước ngoài cho các nhu cầu thanh toán vãng lai hợp pháp không phải xuất trình các chứng từ liên quan đến việc xác nhận hoàn thành nghĩa vụ thuế với Nhà nước Việt Nam.</w:t>
      </w:r>
    </w:p>
    <w:p w14:paraId="0B4E6DED"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2. Người không cư trú và người cư trú là người nước ngoài có ngoại tệ được chuyển ra nước ngoài khi có nhu cầu. Trường hợp có nguồn thu hợp pháp bằng đồng Việt Nam thì được mua ngoại tệ tại Ngân hàng được phép để chuyển ra nước ngoài.</w:t>
      </w:r>
    </w:p>
    <w:p w14:paraId="5ADBE627"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3. Người cư trú là công dân Việt Nam được mua, chuyển, mang ngoại tệ ra nước ngoài để sử dụng cho các nhu cầu hợp pháp như: du lịch, học tập, chữa bệnh, trợ cấp khó khăn, thừa kế và định cư theo quy định của Ngân hàng Nhà nước Việt Nam.</w:t>
      </w:r>
    </w:p>
    <w:p w14:paraId="411943D4"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4. Thống đốc Ngân hàng Nhà nước Việt Nam xem xét, giải quyết các trường hợp mua, chuyển, mang ngoại tệ vượt quá hạn mức (nếu có) trên cơ sở xem xét các hồ sơ, giấy tờ chứng minh sự cần thiết của giao dịch".</w:t>
      </w:r>
    </w:p>
    <w:p w14:paraId="014BF7CF" w14:textId="77777777" w:rsidR="000F3001" w:rsidRPr="000F3001" w:rsidRDefault="000F3001" w:rsidP="000F3001">
      <w:pPr>
        <w:rPr>
          <w:rFonts w:ascii="Times New Roman" w:hAnsi="Times New Roman" w:cs="Times New Roman"/>
        </w:rPr>
      </w:pPr>
      <w:r w:rsidRPr="000F3001">
        <w:rPr>
          <w:rFonts w:ascii="Times New Roman" w:hAnsi="Times New Roman" w:cs="Times New Roman"/>
          <w:b/>
          <w:bCs/>
        </w:rPr>
        <w:t>Điều 2.</w:t>
      </w:r>
      <w:r w:rsidRPr="000F3001">
        <w:rPr>
          <w:rFonts w:ascii="Times New Roman" w:hAnsi="Times New Roman" w:cs="Times New Roman"/>
        </w:rPr>
        <w:t> </w:t>
      </w:r>
      <w:r w:rsidRPr="000F3001">
        <w:rPr>
          <w:rFonts w:ascii="Times New Roman" w:hAnsi="Times New Roman" w:cs="Times New Roman"/>
          <w:b/>
          <w:bCs/>
        </w:rPr>
        <w:t>Điều khoản thi hành</w:t>
      </w:r>
    </w:p>
    <w:p w14:paraId="5A6E60DE"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1. Nghị định này có hiệu lực thi hành sau 15 ngày, kể từ ngày đăng Công báo.</w:t>
      </w:r>
    </w:p>
    <w:p w14:paraId="578705FB" w14:textId="77777777" w:rsidR="000F3001" w:rsidRPr="000F3001" w:rsidRDefault="000F3001" w:rsidP="000F3001">
      <w:pPr>
        <w:rPr>
          <w:rFonts w:ascii="Times New Roman" w:hAnsi="Times New Roman" w:cs="Times New Roman"/>
        </w:rPr>
      </w:pPr>
      <w:r w:rsidRPr="000F3001">
        <w:rPr>
          <w:rFonts w:ascii="Times New Roman" w:hAnsi="Times New Roman" w:cs="Times New Roman"/>
        </w:rPr>
        <w:t>2. Các Bộ trưởng, Thủ trưởng cơ quan ngang Bộ, Thủ trưởng cơ quan thuộc Chính phủ, Chủ tịch ủy ban nhân dân các tỉnh, thành phố trực thuộc Trung ương chịu trách nhiệm thi hành Nghị định này./.</w:t>
      </w:r>
    </w:p>
    <w:p w14:paraId="71FD519C" w14:textId="77777777" w:rsidR="000F3001" w:rsidRPr="000F3001" w:rsidRDefault="000F3001" w:rsidP="000F3001">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0"/>
        <w:gridCol w:w="4260"/>
      </w:tblGrid>
      <w:tr w:rsidR="000F3001" w:rsidRPr="000F3001" w14:paraId="3B842D6A" w14:textId="77777777" w:rsidTr="000F3001">
        <w:trPr>
          <w:tblCellSpacing w:w="0" w:type="dxa"/>
        </w:trPr>
        <w:tc>
          <w:tcPr>
            <w:tcW w:w="4260" w:type="dxa"/>
            <w:shd w:val="clear" w:color="auto" w:fill="FFFFFF"/>
            <w:tcMar>
              <w:top w:w="30" w:type="dxa"/>
              <w:left w:w="30" w:type="dxa"/>
              <w:bottom w:w="30" w:type="dxa"/>
              <w:right w:w="30" w:type="dxa"/>
            </w:tcMar>
            <w:vAlign w:val="center"/>
            <w:hideMark/>
          </w:tcPr>
          <w:p w14:paraId="1E30CF4D" w14:textId="77777777" w:rsidR="000F3001" w:rsidRPr="000F3001" w:rsidRDefault="000F3001" w:rsidP="000F3001">
            <w:pPr>
              <w:rPr>
                <w:rFonts w:ascii="Times New Roman" w:hAnsi="Times New Roman" w:cs="Times New Roman"/>
              </w:rPr>
            </w:pPr>
            <w:r w:rsidRPr="000F3001">
              <w:rPr>
                <w:rFonts w:ascii="Times New Roman" w:hAnsi="Times New Roman" w:cs="Times New Roman"/>
                <w:b/>
                <w:bCs/>
                <w:i/>
                <w:iCs/>
              </w:rPr>
              <w:t>Nơi nhận:</w:t>
            </w:r>
            <w:r w:rsidRPr="000F3001">
              <w:rPr>
                <w:rFonts w:ascii="Times New Roman" w:hAnsi="Times New Roman" w:cs="Times New Roman"/>
              </w:rPr>
              <w:br/>
              <w:t>- Ban Bí thư Trung ương Đảng;</w:t>
            </w:r>
            <w:r w:rsidRPr="000F3001">
              <w:rPr>
                <w:rFonts w:ascii="Times New Roman" w:hAnsi="Times New Roman" w:cs="Times New Roman"/>
              </w:rPr>
              <w:br/>
              <w:t>- Thủ tướng, các Phó Thủ tướng Chính phủ;</w:t>
            </w:r>
            <w:r w:rsidRPr="000F3001">
              <w:rPr>
                <w:rFonts w:ascii="Times New Roman" w:hAnsi="Times New Roman" w:cs="Times New Roman"/>
              </w:rPr>
              <w:br/>
              <w:t>- Các Bộ, cơ quan ngang Bộ,</w:t>
            </w:r>
            <w:r w:rsidRPr="000F3001">
              <w:rPr>
                <w:rFonts w:ascii="Times New Roman" w:hAnsi="Times New Roman" w:cs="Times New Roman"/>
              </w:rPr>
              <w:br/>
              <w:t>cơ quan thuộc Chính phủ;</w:t>
            </w:r>
            <w:r w:rsidRPr="000F3001">
              <w:rPr>
                <w:rFonts w:ascii="Times New Roman" w:hAnsi="Times New Roman" w:cs="Times New Roman"/>
              </w:rPr>
              <w:br/>
              <w:t>- HĐND, UBND các tỉnh,</w:t>
            </w:r>
            <w:r w:rsidRPr="000F3001">
              <w:rPr>
                <w:rFonts w:ascii="Times New Roman" w:hAnsi="Times New Roman" w:cs="Times New Roman"/>
              </w:rPr>
              <w:br/>
              <w:t>thành phố trực thuộc Trung ương;</w:t>
            </w:r>
            <w:r w:rsidRPr="000F3001">
              <w:rPr>
                <w:rFonts w:ascii="Times New Roman" w:hAnsi="Times New Roman" w:cs="Times New Roman"/>
              </w:rPr>
              <w:br/>
              <w:t>- Văn phòng Trung ương và các Ban của Đảng;</w:t>
            </w:r>
            <w:r w:rsidRPr="000F3001">
              <w:rPr>
                <w:rFonts w:ascii="Times New Roman" w:hAnsi="Times New Roman" w:cs="Times New Roman"/>
              </w:rPr>
              <w:br/>
              <w:t>- Văn phòng Chủ tịch nước;</w:t>
            </w:r>
            <w:r w:rsidRPr="000F3001">
              <w:rPr>
                <w:rFonts w:ascii="Times New Roman" w:hAnsi="Times New Roman" w:cs="Times New Roman"/>
              </w:rPr>
              <w:br/>
              <w:t>- Hội đồng Dân tộc và các ủy ban của Quốc hội;</w:t>
            </w:r>
            <w:r w:rsidRPr="000F3001">
              <w:rPr>
                <w:rFonts w:ascii="Times New Roman" w:hAnsi="Times New Roman" w:cs="Times New Roman"/>
              </w:rPr>
              <w:br/>
              <w:t>- Văn phòng Quốc hội;</w:t>
            </w:r>
            <w:r w:rsidRPr="000F3001">
              <w:rPr>
                <w:rFonts w:ascii="Times New Roman" w:hAnsi="Times New Roman" w:cs="Times New Roman"/>
              </w:rPr>
              <w:br/>
              <w:t>- Toà án nhân dân tối cao;</w:t>
            </w:r>
            <w:r w:rsidRPr="000F3001">
              <w:rPr>
                <w:rFonts w:ascii="Times New Roman" w:hAnsi="Times New Roman" w:cs="Times New Roman"/>
              </w:rPr>
              <w:br/>
              <w:t>- Viện Kiểm sát nhân dân tối cao;</w:t>
            </w:r>
            <w:r w:rsidRPr="000F3001">
              <w:rPr>
                <w:rFonts w:ascii="Times New Roman" w:hAnsi="Times New Roman" w:cs="Times New Roman"/>
              </w:rPr>
              <w:br/>
            </w:r>
            <w:r w:rsidRPr="000F3001">
              <w:rPr>
                <w:rFonts w:ascii="Times New Roman" w:hAnsi="Times New Roman" w:cs="Times New Roman"/>
              </w:rPr>
              <w:lastRenderedPageBreak/>
              <w:t>- Cơ quan Trung ương của các đoàn thể;</w:t>
            </w:r>
            <w:r w:rsidRPr="000F3001">
              <w:rPr>
                <w:rFonts w:ascii="Times New Roman" w:hAnsi="Times New Roman" w:cs="Times New Roman"/>
              </w:rPr>
              <w:br/>
              <w:t>- Học viện Hành chính quốc gia;</w:t>
            </w:r>
            <w:r w:rsidRPr="000F3001">
              <w:rPr>
                <w:rFonts w:ascii="Times New Roman" w:hAnsi="Times New Roman" w:cs="Times New Roman"/>
              </w:rPr>
              <w:br/>
              <w:t>- VPCP: BTCN, TBNC, các PCN, BNC,</w:t>
            </w:r>
            <w:r w:rsidRPr="000F3001">
              <w:rPr>
                <w:rFonts w:ascii="Times New Roman" w:hAnsi="Times New Roman" w:cs="Times New Roman"/>
              </w:rPr>
              <w:br/>
              <w:t>Ban Điều hành 112,</w:t>
            </w:r>
            <w:r w:rsidRPr="000F3001">
              <w:rPr>
                <w:rFonts w:ascii="Times New Roman" w:hAnsi="Times New Roman" w:cs="Times New Roman"/>
              </w:rPr>
              <w:br/>
              <w:t>Người phát ngôn của Thủ tướng Chính phủ,</w:t>
            </w:r>
            <w:r w:rsidRPr="000F3001">
              <w:rPr>
                <w:rFonts w:ascii="Times New Roman" w:hAnsi="Times New Roman" w:cs="Times New Roman"/>
              </w:rPr>
              <w:br/>
              <w:t>các Vụ, Cục, đơn vị trực thuộc, Công báo;</w:t>
            </w:r>
            <w:r w:rsidRPr="000F3001">
              <w:rPr>
                <w:rFonts w:ascii="Times New Roman" w:hAnsi="Times New Roman" w:cs="Times New Roman"/>
              </w:rPr>
              <w:br/>
              <w:t>- Lưu: Văn thư, KTTH (5b). (Hoà 315b).</w:t>
            </w:r>
          </w:p>
        </w:tc>
        <w:tc>
          <w:tcPr>
            <w:tcW w:w="4260" w:type="dxa"/>
            <w:shd w:val="clear" w:color="auto" w:fill="FFFFFF"/>
            <w:tcMar>
              <w:top w:w="30" w:type="dxa"/>
              <w:left w:w="30" w:type="dxa"/>
              <w:bottom w:w="30" w:type="dxa"/>
              <w:right w:w="30" w:type="dxa"/>
            </w:tcMar>
            <w:vAlign w:val="center"/>
            <w:hideMark/>
          </w:tcPr>
          <w:p w14:paraId="518D79BD" w14:textId="77777777" w:rsidR="000F3001" w:rsidRPr="000F3001" w:rsidRDefault="000F3001" w:rsidP="000F3001">
            <w:pPr>
              <w:jc w:val="center"/>
              <w:rPr>
                <w:rFonts w:ascii="Times New Roman" w:hAnsi="Times New Roman" w:cs="Times New Roman"/>
              </w:rPr>
            </w:pPr>
            <w:r w:rsidRPr="000F3001">
              <w:rPr>
                <w:rFonts w:ascii="Times New Roman" w:hAnsi="Times New Roman" w:cs="Times New Roman"/>
                <w:b/>
                <w:bCs/>
              </w:rPr>
              <w:lastRenderedPageBreak/>
              <w:t>TM. CHÍNH PHỦ</w:t>
            </w:r>
            <w:r w:rsidRPr="000F3001">
              <w:rPr>
                <w:rFonts w:ascii="Times New Roman" w:hAnsi="Times New Roman" w:cs="Times New Roman"/>
              </w:rPr>
              <w:br/>
            </w:r>
            <w:r w:rsidRPr="000F3001">
              <w:rPr>
                <w:rFonts w:ascii="Times New Roman" w:hAnsi="Times New Roman" w:cs="Times New Roman"/>
                <w:b/>
                <w:bCs/>
              </w:rPr>
              <w:t>THỦ TƯỚNG</w:t>
            </w:r>
            <w:r w:rsidRPr="000F3001">
              <w:rPr>
                <w:rFonts w:ascii="Times New Roman" w:hAnsi="Times New Roman" w:cs="Times New Roman"/>
              </w:rPr>
              <w:br/>
            </w:r>
            <w:r w:rsidRPr="000F3001">
              <w:rPr>
                <w:rFonts w:ascii="Times New Roman" w:hAnsi="Times New Roman" w:cs="Times New Roman"/>
              </w:rPr>
              <w:br/>
            </w:r>
            <w:r w:rsidRPr="000F3001">
              <w:rPr>
                <w:rFonts w:ascii="Times New Roman" w:hAnsi="Times New Roman" w:cs="Times New Roman"/>
              </w:rPr>
              <w:br/>
            </w:r>
            <w:r w:rsidRPr="000F3001">
              <w:rPr>
                <w:rFonts w:ascii="Times New Roman" w:hAnsi="Times New Roman" w:cs="Times New Roman"/>
                <w:b/>
                <w:bCs/>
              </w:rPr>
              <w:t> </w:t>
            </w:r>
            <w:r w:rsidRPr="000F3001">
              <w:rPr>
                <w:rFonts w:ascii="Times New Roman" w:hAnsi="Times New Roman" w:cs="Times New Roman"/>
              </w:rPr>
              <w:br/>
            </w:r>
            <w:r w:rsidRPr="000F3001">
              <w:rPr>
                <w:rFonts w:ascii="Times New Roman" w:hAnsi="Times New Roman" w:cs="Times New Roman"/>
              </w:rPr>
              <w:br/>
            </w:r>
            <w:r w:rsidRPr="000F3001">
              <w:rPr>
                <w:rFonts w:ascii="Times New Roman" w:hAnsi="Times New Roman" w:cs="Times New Roman"/>
                <w:b/>
                <w:bCs/>
              </w:rPr>
              <w:t>Phan Văn Khải</w:t>
            </w:r>
          </w:p>
        </w:tc>
      </w:tr>
    </w:tbl>
    <w:p w14:paraId="59229A01" w14:textId="77777777" w:rsidR="000F3001" w:rsidRPr="000F3001" w:rsidRDefault="000F3001">
      <w:pPr>
        <w:rPr>
          <w:rFonts w:ascii="Times New Roman" w:hAnsi="Times New Roman" w:cs="Times New Roman"/>
        </w:rPr>
      </w:pPr>
    </w:p>
    <w:sectPr w:rsidR="000F3001" w:rsidRPr="000F3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01"/>
    <w:rsid w:val="000F3001"/>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94A6"/>
  <w15:chartTrackingRefBased/>
  <w15:docId w15:val="{07E0BF7C-CB8E-421A-8ACD-E831552A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001"/>
    <w:rPr>
      <w:rFonts w:eastAsiaTheme="majorEastAsia" w:cstheme="majorBidi"/>
      <w:color w:val="272727" w:themeColor="text1" w:themeTint="D8"/>
    </w:rPr>
  </w:style>
  <w:style w:type="paragraph" w:styleId="Title">
    <w:name w:val="Title"/>
    <w:basedOn w:val="Normal"/>
    <w:next w:val="Normal"/>
    <w:link w:val="TitleChar"/>
    <w:uiPriority w:val="10"/>
    <w:qFormat/>
    <w:rsid w:val="000F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001"/>
    <w:pPr>
      <w:spacing w:before="160"/>
      <w:jc w:val="center"/>
    </w:pPr>
    <w:rPr>
      <w:i/>
      <w:iCs/>
      <w:color w:val="404040" w:themeColor="text1" w:themeTint="BF"/>
    </w:rPr>
  </w:style>
  <w:style w:type="character" w:customStyle="1" w:styleId="QuoteChar">
    <w:name w:val="Quote Char"/>
    <w:basedOn w:val="DefaultParagraphFont"/>
    <w:link w:val="Quote"/>
    <w:uiPriority w:val="29"/>
    <w:rsid w:val="000F3001"/>
    <w:rPr>
      <w:i/>
      <w:iCs/>
      <w:color w:val="404040" w:themeColor="text1" w:themeTint="BF"/>
    </w:rPr>
  </w:style>
  <w:style w:type="paragraph" w:styleId="ListParagraph">
    <w:name w:val="List Paragraph"/>
    <w:basedOn w:val="Normal"/>
    <w:uiPriority w:val="34"/>
    <w:qFormat/>
    <w:rsid w:val="000F3001"/>
    <w:pPr>
      <w:ind w:left="720"/>
      <w:contextualSpacing/>
    </w:pPr>
  </w:style>
  <w:style w:type="character" w:styleId="IntenseEmphasis">
    <w:name w:val="Intense Emphasis"/>
    <w:basedOn w:val="DefaultParagraphFont"/>
    <w:uiPriority w:val="21"/>
    <w:qFormat/>
    <w:rsid w:val="000F3001"/>
    <w:rPr>
      <w:i/>
      <w:iCs/>
      <w:color w:val="0F4761" w:themeColor="accent1" w:themeShade="BF"/>
    </w:rPr>
  </w:style>
  <w:style w:type="paragraph" w:styleId="IntenseQuote">
    <w:name w:val="Intense Quote"/>
    <w:basedOn w:val="Normal"/>
    <w:next w:val="Normal"/>
    <w:link w:val="IntenseQuoteChar"/>
    <w:uiPriority w:val="30"/>
    <w:qFormat/>
    <w:rsid w:val="000F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001"/>
    <w:rPr>
      <w:i/>
      <w:iCs/>
      <w:color w:val="0F4761" w:themeColor="accent1" w:themeShade="BF"/>
    </w:rPr>
  </w:style>
  <w:style w:type="character" w:styleId="IntenseReference">
    <w:name w:val="Intense Reference"/>
    <w:basedOn w:val="DefaultParagraphFont"/>
    <w:uiPriority w:val="32"/>
    <w:qFormat/>
    <w:rsid w:val="000F3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06789">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2024-12-24T08:11:00Z</dcterms:created>
  <dcterms:modified xsi:type="dcterms:W3CDTF">2024-12-24T08:13:00Z</dcterms:modified>
</cp:coreProperties>
</file>