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2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8"/>
        <w:gridCol w:w="5490"/>
      </w:tblGrid>
      <w:tr w:rsidR="00F15D69" w14:paraId="757B3440" w14:textId="77777777" w:rsidTr="00F15D6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8E003" w14:textId="77777777" w:rsidR="00F15D69" w:rsidRDefault="00F15D69">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Y TẾ</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6AF2E" w14:textId="77777777" w:rsidR="00F15D69" w:rsidRDefault="00F15D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15D69" w14:paraId="42F75BF1" w14:textId="77777777" w:rsidTr="00F15D6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07277" w14:textId="77777777" w:rsidR="00F15D69" w:rsidRDefault="00F15D69">
            <w:pPr>
              <w:pStyle w:val="NormalWeb"/>
              <w:spacing w:after="90" w:afterAutospacing="0" w:line="345" w:lineRule="atLeast"/>
              <w:jc w:val="center"/>
              <w:rPr>
                <w:rFonts w:ascii="Arial" w:hAnsi="Arial" w:cs="Arial"/>
                <w:sz w:val="21"/>
                <w:szCs w:val="21"/>
              </w:rPr>
            </w:pPr>
            <w:r>
              <w:rPr>
                <w:rFonts w:ascii="Arial" w:hAnsi="Arial" w:cs="Arial"/>
                <w:sz w:val="21"/>
                <w:szCs w:val="21"/>
              </w:rPr>
              <w:t>Số: 37/2018/TT-BYT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3F268" w14:textId="77777777" w:rsidR="00F15D69" w:rsidRDefault="00F15D6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30 tháng 11 năm 2018</w:t>
            </w:r>
          </w:p>
        </w:tc>
      </w:tr>
    </w:tbl>
    <w:p w14:paraId="268F166D" w14:textId="77777777" w:rsidR="00F15D69" w:rsidRDefault="00F15D69" w:rsidP="00F15D69">
      <w:pPr>
        <w:pStyle w:val="NormalWeb"/>
        <w:spacing w:after="90" w:afterAutospacing="0" w:line="345" w:lineRule="atLeast"/>
        <w:jc w:val="both"/>
        <w:rPr>
          <w:rFonts w:ascii="Arial" w:hAnsi="Arial" w:cs="Arial"/>
          <w:szCs w:val="24"/>
        </w:rPr>
      </w:pPr>
    </w:p>
    <w:p w14:paraId="5A5C2053" w14:textId="77777777" w:rsidR="00F15D69" w:rsidRDefault="00F15D69" w:rsidP="00F15D69">
      <w:pPr>
        <w:pStyle w:val="NormalWeb"/>
        <w:spacing w:after="90" w:afterAutospacing="0" w:line="345" w:lineRule="atLeast"/>
        <w:jc w:val="center"/>
        <w:rPr>
          <w:rFonts w:ascii="Arial" w:hAnsi="Arial" w:cs="Arial"/>
        </w:rPr>
      </w:pPr>
      <w:r>
        <w:rPr>
          <w:rStyle w:val="Strong"/>
          <w:rFonts w:ascii="Arial" w:hAnsi="Arial" w:cs="Arial"/>
          <w:sz w:val="21"/>
          <w:szCs w:val="21"/>
        </w:rPr>
        <w:t>THÔNG TƯ</w:t>
      </w:r>
    </w:p>
    <w:p w14:paraId="1B50E9FE" w14:textId="77777777" w:rsidR="00F15D69" w:rsidRDefault="00F15D69" w:rsidP="00F15D69">
      <w:pPr>
        <w:pStyle w:val="NormalWeb"/>
        <w:spacing w:after="90" w:afterAutospacing="0" w:line="345" w:lineRule="atLeast"/>
        <w:jc w:val="center"/>
        <w:rPr>
          <w:rFonts w:ascii="Arial" w:hAnsi="Arial" w:cs="Arial"/>
        </w:rPr>
      </w:pPr>
      <w:r>
        <w:rPr>
          <w:rFonts w:ascii="Arial" w:hAnsi="Arial" w:cs="Arial"/>
        </w:rPr>
        <w:t>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w:t>
      </w:r>
    </w:p>
    <w:p w14:paraId="0A2D86F3" w14:textId="77777777" w:rsidR="00F15D69" w:rsidRDefault="00F15D69" w:rsidP="00F15D69">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tgtFrame="_blank" w:history="1">
        <w:r>
          <w:rPr>
            <w:rStyle w:val="Hyperlink"/>
            <w:rFonts w:ascii="Arial" w:hAnsi="Arial" w:cs="Arial"/>
            <w:i/>
            <w:iCs/>
            <w:color w:val="135ECD"/>
            <w:sz w:val="21"/>
            <w:szCs w:val="21"/>
          </w:rPr>
          <w:t>Luật khám bệnh, chữa bệnh</w:t>
        </w:r>
      </w:hyperlink>
      <w:r>
        <w:rPr>
          <w:rStyle w:val="Emphasis"/>
          <w:rFonts w:ascii="Arial" w:hAnsi="Arial" w:cs="Arial"/>
          <w:sz w:val="21"/>
          <w:szCs w:val="21"/>
        </w:rPr>
        <w:t> ngày 23 tháng 11 năm 2009;</w:t>
      </w:r>
    </w:p>
    <w:p w14:paraId="0F9ECB4F" w14:textId="77777777" w:rsidR="00F15D69" w:rsidRDefault="00F15D69" w:rsidP="00F15D69">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tgtFrame="_blank" w:history="1">
        <w:r>
          <w:rPr>
            <w:rStyle w:val="Hyperlink"/>
            <w:rFonts w:ascii="Arial" w:hAnsi="Arial" w:cs="Arial"/>
            <w:i/>
            <w:iCs/>
            <w:color w:val="135ECD"/>
            <w:sz w:val="21"/>
            <w:szCs w:val="21"/>
          </w:rPr>
          <w:t>Luật giá</w:t>
        </w:r>
      </w:hyperlink>
      <w:r>
        <w:rPr>
          <w:rStyle w:val="Emphasis"/>
          <w:rFonts w:ascii="Arial" w:hAnsi="Arial" w:cs="Arial"/>
          <w:sz w:val="21"/>
          <w:szCs w:val="21"/>
        </w:rPr>
        <w:t> ngày 20 tháng 6 năm 2012;</w:t>
      </w:r>
    </w:p>
    <w:p w14:paraId="59EA3D8F" w14:textId="77777777" w:rsidR="00F15D69" w:rsidRDefault="00F15D69" w:rsidP="00F15D69">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9" w:tgtFrame="_blank" w:history="1">
        <w:r>
          <w:rPr>
            <w:rStyle w:val="Hyperlink"/>
            <w:rFonts w:ascii="Arial" w:hAnsi="Arial" w:cs="Arial"/>
            <w:i/>
            <w:iCs/>
            <w:color w:val="135ECD"/>
            <w:sz w:val="21"/>
            <w:szCs w:val="21"/>
          </w:rPr>
          <w:t>Luật tổ chức chính quyền địa phương</w:t>
        </w:r>
      </w:hyperlink>
      <w:r>
        <w:rPr>
          <w:rStyle w:val="Emphasis"/>
          <w:rFonts w:ascii="Arial" w:hAnsi="Arial" w:cs="Arial"/>
          <w:sz w:val="21"/>
          <w:szCs w:val="21"/>
        </w:rPr>
        <w:t> ngày 19 tháng 6 năm 2015;</w:t>
      </w:r>
    </w:p>
    <w:p w14:paraId="0A488912" w14:textId="77777777" w:rsidR="00F15D69" w:rsidRDefault="00F15D69" w:rsidP="00F15D6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10" w:tgtFrame="_blank" w:history="1">
        <w:r>
          <w:rPr>
            <w:rStyle w:val="Hyperlink"/>
            <w:rFonts w:ascii="Arial" w:hAnsi="Arial" w:cs="Arial"/>
            <w:i/>
            <w:iCs/>
            <w:color w:val="135ECD"/>
            <w:sz w:val="21"/>
            <w:szCs w:val="21"/>
          </w:rPr>
          <w:t>85/2012/NĐ-CP</w:t>
        </w:r>
      </w:hyperlink>
      <w:r>
        <w:rPr>
          <w:rStyle w:val="Emphasis"/>
          <w:rFonts w:ascii="Arial" w:hAnsi="Arial" w:cs="Arial"/>
          <w:sz w:val="21"/>
          <w:szCs w:val="21"/>
        </w:rPr>
        <w:t> ngày 15 tháng 10 năm 2012 của Chính phủ về cơ chế hoạt động, cơ chế tài chính đối với các đơn vị sự nghiệp y tế công lập và giá dịch vụ khám bệnh, chữa bệnh của các cơ sở khám bệnh, chữa bệnh công lập;</w:t>
      </w:r>
    </w:p>
    <w:p w14:paraId="1BBF1D28" w14:textId="77777777" w:rsidR="00F15D69" w:rsidRDefault="00F15D69" w:rsidP="00F15D6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11" w:tgtFrame="_blank" w:history="1">
        <w:r>
          <w:rPr>
            <w:rStyle w:val="Hyperlink"/>
            <w:rFonts w:ascii="Arial" w:hAnsi="Arial" w:cs="Arial"/>
            <w:i/>
            <w:iCs/>
            <w:color w:val="135ECD"/>
            <w:sz w:val="21"/>
            <w:szCs w:val="21"/>
          </w:rPr>
          <w:t>16/2015/NĐ-CP</w:t>
        </w:r>
      </w:hyperlink>
      <w:r>
        <w:rPr>
          <w:rStyle w:val="Emphasis"/>
          <w:rFonts w:ascii="Arial" w:hAnsi="Arial" w:cs="Arial"/>
          <w:sz w:val="21"/>
          <w:szCs w:val="21"/>
        </w:rPr>
        <w:t> ngày 14 tháng 02 năm 2015 của Chính phủ quy định cơ chế tự chủ của đơn vị sự nghiệp công lập;</w:t>
      </w:r>
    </w:p>
    <w:p w14:paraId="0DCE420E" w14:textId="77777777" w:rsidR="00F15D69" w:rsidRDefault="00F15D69" w:rsidP="00F15D6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12" w:tgtFrame="_blank" w:history="1">
        <w:r>
          <w:rPr>
            <w:rStyle w:val="Hyperlink"/>
            <w:rFonts w:ascii="Arial" w:hAnsi="Arial" w:cs="Arial"/>
            <w:i/>
            <w:iCs/>
            <w:color w:val="135ECD"/>
            <w:sz w:val="21"/>
            <w:szCs w:val="21"/>
          </w:rPr>
          <w:t>177/2013/NĐ-CP</w:t>
        </w:r>
      </w:hyperlink>
      <w:r>
        <w:rPr>
          <w:rStyle w:val="Emphasis"/>
          <w:rFonts w:ascii="Arial" w:hAnsi="Arial" w:cs="Arial"/>
          <w:sz w:val="21"/>
          <w:szCs w:val="21"/>
        </w:rPr>
        <w:t> ngày 14 tháng 11 năm 2013 của Chính phủ quy định chi tiết và hướng dẫn thi hành một số điều của Luật giá;</w:t>
      </w:r>
    </w:p>
    <w:p w14:paraId="3CC8C13E" w14:textId="77777777" w:rsidR="00F15D69" w:rsidRDefault="00F15D69" w:rsidP="00F15D6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13" w:tgtFrame="_blank" w:history="1">
        <w:r>
          <w:rPr>
            <w:rStyle w:val="Hyperlink"/>
            <w:rFonts w:ascii="Arial" w:hAnsi="Arial" w:cs="Arial"/>
            <w:i/>
            <w:iCs/>
            <w:color w:val="135ECD"/>
            <w:sz w:val="21"/>
            <w:szCs w:val="21"/>
          </w:rPr>
          <w:t>149/2016/NĐ-CP</w:t>
        </w:r>
      </w:hyperlink>
      <w:r>
        <w:rPr>
          <w:rStyle w:val="Emphasis"/>
          <w:rFonts w:ascii="Arial" w:hAnsi="Arial" w:cs="Arial"/>
          <w:sz w:val="21"/>
          <w:szCs w:val="21"/>
        </w:rPr>
        <w:t> ngày 11 tháng 11 năm 2016 của Chính phủ sửa đổi, bổ sung một số điều của Nghị định số 177/2013/NĐ-CP ngày 14 tháng 11 năm 2013 của Chính phủ quy định chi tiết và hướng dẫn thi hành một số điều của Luật giá;</w:t>
      </w:r>
    </w:p>
    <w:p w14:paraId="7CAA3D2A" w14:textId="77777777" w:rsidR="00F15D69" w:rsidRDefault="00F15D69" w:rsidP="00F15D6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14" w:tgtFrame="_blank" w:history="1">
        <w:r>
          <w:rPr>
            <w:rStyle w:val="Hyperlink"/>
            <w:rFonts w:ascii="Arial" w:hAnsi="Arial" w:cs="Arial"/>
            <w:i/>
            <w:iCs/>
            <w:color w:val="135ECD"/>
            <w:sz w:val="21"/>
            <w:szCs w:val="21"/>
          </w:rPr>
          <w:t>75/2017/NĐ-CP</w:t>
        </w:r>
      </w:hyperlink>
      <w:r>
        <w:rPr>
          <w:rStyle w:val="Emphasis"/>
          <w:rFonts w:ascii="Arial" w:hAnsi="Arial" w:cs="Arial"/>
          <w:sz w:val="21"/>
          <w:szCs w:val="21"/>
        </w:rPr>
        <w:t> ngày 20 tháng 6 năm 2017 của Chính phủ quy định chức năng, nhiệm vụ, quyền hạn và cơ cấu tổ chức của Bộ Y tế;</w:t>
      </w:r>
    </w:p>
    <w:p w14:paraId="29F965B3" w14:textId="77777777" w:rsidR="00F15D69" w:rsidRDefault="00F15D69" w:rsidP="00F15D6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15" w:tgtFrame="_blank" w:history="1">
        <w:r>
          <w:rPr>
            <w:rStyle w:val="Hyperlink"/>
            <w:rFonts w:ascii="Arial" w:hAnsi="Arial" w:cs="Arial"/>
            <w:i/>
            <w:iCs/>
            <w:color w:val="135ECD"/>
            <w:sz w:val="21"/>
            <w:szCs w:val="21"/>
          </w:rPr>
          <w:t>72/2018/NĐ-CP</w:t>
        </w:r>
      </w:hyperlink>
      <w:r>
        <w:rPr>
          <w:rStyle w:val="Emphasis"/>
          <w:rFonts w:ascii="Arial" w:hAnsi="Arial" w:cs="Arial"/>
          <w:sz w:val="21"/>
          <w:szCs w:val="21"/>
        </w:rPr>
        <w:t> ngày 15 tháng 5 năm 2018 của Chính phủ quy định mức lương cơ sở đối với cán bộ, công chức, viên chức và lực lượng vũ trang;</w:t>
      </w:r>
    </w:p>
    <w:p w14:paraId="5FBF5E2A" w14:textId="77777777" w:rsidR="00F15D69" w:rsidRDefault="00F15D69" w:rsidP="00F15D69">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Căn cứ Nghị quyết số 140/NQ-CP ngày 09 tháng 11 năm 2018 của Chính phủ về phiên họp Chính phủ thường kỳ tháng 10 năm 2018;</w:t>
      </w:r>
    </w:p>
    <w:p w14:paraId="4B8C5ECD" w14:textId="77777777" w:rsidR="00F15D69" w:rsidRDefault="00F15D69" w:rsidP="00F15D69">
      <w:pPr>
        <w:pStyle w:val="NormalWeb"/>
        <w:spacing w:after="90" w:afterAutospacing="0" w:line="345" w:lineRule="atLeast"/>
        <w:jc w:val="both"/>
        <w:rPr>
          <w:rFonts w:ascii="Arial" w:hAnsi="Arial" w:cs="Arial"/>
        </w:rPr>
      </w:pPr>
      <w:r>
        <w:rPr>
          <w:rStyle w:val="Emphasis"/>
          <w:rFonts w:ascii="Arial" w:hAnsi="Arial" w:cs="Arial"/>
          <w:sz w:val="21"/>
          <w:szCs w:val="21"/>
        </w:rPr>
        <w:t>Trên cơ sở ý kiến của Bộ Tài chính tại công văn số 14818/BTC-QLG ngày 27 tháng 11 năm 2018;</w:t>
      </w:r>
    </w:p>
    <w:p w14:paraId="631DCDBD" w14:textId="77777777" w:rsidR="00F15D69" w:rsidRDefault="00F15D69" w:rsidP="00F15D69">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Y tế ban hành Thông tư 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w:t>
      </w:r>
    </w:p>
    <w:p w14:paraId="096AC1C0" w14:textId="77777777" w:rsidR="00F15D69" w:rsidRDefault="00F15D69" w:rsidP="00F15D69">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 và đối tượng áp dụng</w:t>
      </w:r>
    </w:p>
    <w:p w14:paraId="5F97A06A"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1. Phạm vi điều chỉnh:</w:t>
      </w:r>
    </w:p>
    <w:p w14:paraId="56F1EF27"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Thông tư này 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w:t>
      </w:r>
    </w:p>
    <w:p w14:paraId="1A70938C"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2. Đối tượng áp dụng:</w:t>
      </w:r>
    </w:p>
    <w:p w14:paraId="6BD9164F"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Các cơ sở khám bệnh, chữa bệnh của Nhà nước; người bệnh chưa tham gia bảo hiểm y tế; người bệnh có thẻ bảo hiểm y tế nhưng đi khám bệnh, chữa bệnh hoặc sử dụng các dịch vụ khám bệnh, chữa bệnh không thuộc phạm vi thanh toán của Quỹ bảo hiểm y tế; các cơ quan, tổ chức, cá nhân khác có liên quan.</w:t>
      </w:r>
    </w:p>
    <w:p w14:paraId="0239B43D"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3. Người bệnh có thẻ bảo hiểm y tế đi khám bệnh, chữa bệnh theo quy định của pháp luật về bảo hiểm y tế thì được Quỹ bảo hiểm y tế thanh toán chi phí khám bệnh, chữa bệnh theo quy định.</w:t>
      </w:r>
    </w:p>
    <w:p w14:paraId="7AC42C0C"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4. Thông tư này không áp dụng đối với các dịch vụ khám bệnh, chữa bệnh trong các trường hợp sau đây:</w:t>
      </w:r>
    </w:p>
    <w:p w14:paraId="52DAC8CA"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Đơn vị góp vốn, huy động vốn, liên doanh, liên kết theo quy định tại Điều 6 Nghị định số 85/2012/NĐ-CP ngày 12 tháng 10 năm 2012 của Chính phủ về cơ chế hoạt động, cơ chế tài chính đối với các đơn vị sự nghiệp y tế công lập và giá dịch vụ khám bệnh, chữa bệnh của các cơ sở khám bệnh, chữa bệnh công lập và thực hiện giá dịch vụ theo nguyên tắc bảo đảm đủ bù đắp chi phí và có tích lũy;</w:t>
      </w:r>
    </w:p>
    <w:p w14:paraId="2E55C4AD"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Cơ sở khám bệnh, chữa bệnh hoạt động theo mô hình doanh nghiệp do đơn vị sự nghiệp công vay vốn để đầu tư, hợp tác đầu tư theo Nghị quyết số 93/NQ-CP ngày 15 tháng 12 năm 2014 của Chính phủ về một số cơ chế, chính sách phát triển y tế;</w:t>
      </w:r>
    </w:p>
    <w:p w14:paraId="2B66EBC7"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lastRenderedPageBreak/>
        <w:t>c) Cơ sở khám bệnh, chữa bệnh đầu tư theo hình thức đối tác công tư theo quy định của Chính phủ về đầu tư theo hình thức đối tác công tư.</w:t>
      </w:r>
    </w:p>
    <w:p w14:paraId="266FFD59" w14:textId="77777777" w:rsidR="00F15D69" w:rsidRDefault="00F15D69" w:rsidP="00F15D69">
      <w:pPr>
        <w:pStyle w:val="NormalWeb"/>
        <w:spacing w:after="90" w:afterAutospacing="0" w:line="345" w:lineRule="atLeast"/>
        <w:jc w:val="both"/>
        <w:rPr>
          <w:rFonts w:ascii="Arial" w:hAnsi="Arial" w:cs="Arial"/>
        </w:rPr>
      </w:pPr>
      <w:r>
        <w:rPr>
          <w:rStyle w:val="Strong"/>
          <w:rFonts w:ascii="Arial" w:hAnsi="Arial" w:cs="Arial"/>
          <w:sz w:val="21"/>
          <w:szCs w:val="21"/>
        </w:rPr>
        <w:t>Điều 2. Mức tối đa khung giá dịch vụ khám bệnh, chữa bệnh</w:t>
      </w:r>
    </w:p>
    <w:p w14:paraId="315700D2"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Mức tối đa khung giá dịch vụ khám bệnh, chữa bệnh bao gồm:</w:t>
      </w:r>
    </w:p>
    <w:p w14:paraId="71C748AF"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1. Mức tối đa khung giá dịch vụ khám bệnh, kiểm tra sức khỏe quy định tại Phụ lục I ban hành kèm theo Thông tư này;</w:t>
      </w:r>
    </w:p>
    <w:p w14:paraId="053C5DF6"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2. Mức tối đa khung giá dịch vụ ngày giường điều trị quy định tại Phụ lục II ban hành kèm theo Thông tư này;</w:t>
      </w:r>
    </w:p>
    <w:p w14:paraId="77ED478F"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3. Mức tối đa khung giá dịch vụ kỹ thuật, xét nghiệm quy định tại Phụ lục III ban hành kèm theo Thông tư này.</w:t>
      </w:r>
    </w:p>
    <w:p w14:paraId="64DF24B2"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4. Bổ sung ghi chú của một số dịch vụ kỹ thuật đã được Bộ Y tế xếp tương đương tại các Quyết định của Bộ Y tế tại Phụ lục IV ban hành kèm theo Thông tư này.</w:t>
      </w:r>
    </w:p>
    <w:p w14:paraId="5F8FA24B" w14:textId="77777777" w:rsidR="00F15D69" w:rsidRDefault="00F15D69" w:rsidP="00F15D69">
      <w:pPr>
        <w:pStyle w:val="NormalWeb"/>
        <w:spacing w:after="90" w:afterAutospacing="0" w:line="345" w:lineRule="atLeast"/>
        <w:jc w:val="both"/>
        <w:rPr>
          <w:rFonts w:ascii="Arial" w:hAnsi="Arial" w:cs="Arial"/>
        </w:rPr>
      </w:pPr>
      <w:r>
        <w:rPr>
          <w:rStyle w:val="Strong"/>
          <w:rFonts w:ascii="Arial" w:hAnsi="Arial" w:cs="Arial"/>
          <w:sz w:val="21"/>
          <w:szCs w:val="21"/>
        </w:rPr>
        <w:t>Điều 3. Cơ cấu giá dịch vụ khám bệnh, chữa bệnh</w:t>
      </w:r>
    </w:p>
    <w:p w14:paraId="24520B16"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Mức giá tối đa các dịch vụ khám bệnh, chữa bệnh quy định tại Thông tư này được xây dựng trên cơ sở chi phí trực tiếp và tiền lương để bảo đảm cho việc khám bệnh, chăm sóc, điều trị người bệnh và thực hiện các dịch vụ kỹ thuật y tế; cụ thể như sau:</w:t>
      </w:r>
    </w:p>
    <w:p w14:paraId="7A801DC9"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1. Các chi phí trực tiếp tính trong mức giá khám bệnh</w:t>
      </w:r>
    </w:p>
    <w:p w14:paraId="20039D36"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Chi phí về quần áo, mũ, khẩu trang, ga, gối, đệm, chiếu, văn phòng phẩm, găng tay, bông, băng, cồn, gạc, nước muối rửa và các vật tư tiêu hao khác phục vụ công tác khám bệnh;</w:t>
      </w:r>
    </w:p>
    <w:p w14:paraId="45B2D764"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Chi phí về điện; nước; nhiên liệu; xử lý chất thải sinh hoạt, chất thải y tế (rắn, lỏng); giặt, là, hấp, sấy, rửa, tiệt trùng đồ vải, dụng cụ thăm khám; chi phí vệ sinh và bảo đảm vệ sinh môi trường; vật tư, hóa chất khử khuẩn, chống nhiễm khuẩn trong quá trình khám bệnh;</w:t>
      </w:r>
    </w:p>
    <w:p w14:paraId="78FDE8B2"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c) Chi phí duy tu, bảo dưỡng nhà cửa, trang thiết bị, mua sắm thay thế các tài sản, công cụ, dụng cụ như: điều hòa, máy tính, máy in, máy hút ẩm, quạt, bàn, ghế, giường, tủ, đèn chiếu sáng, các bộ dụng cụ, công cụ cần thiết khác trong quá trình khám bệnh.</w:t>
      </w:r>
    </w:p>
    <w:p w14:paraId="3FD4FEE8"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2. Các chi phí trực tiếp tính trong giá dịch vụ ngày giường điều trị</w:t>
      </w:r>
    </w:p>
    <w:p w14:paraId="6943E910"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lastRenderedPageBreak/>
        <w:t>a) Chi phí về quần áo, mũ, khẩu trang, chăn, ga, gối, đệm, màn, chiếu; văn phòng phẩm; găng tay sử dụng trong thăm khám, tiêm, truyền, bông, băng, cồn, gạc, nước muối rửa và các vật tư tiêu hao khác phục vụ công tác chăm sóc và điều trị hằng ngày (kể cả các chi phí để thay băng vết thương hoặc vết mổ đối với người bệnh nội trú, trừ các trường hợp được thanh toán ngoài mức giá ngày giường bệnh quy định tại khoản 4, khoản 5 Điều 7 Thông tư này); điện cực, cáp điện tim, băng đo huyết áp, dây cáp SPO2 trong quá trình sử dụng máy theo dõi bệnh nhân đối với giường hồi sức cấp cứu, hồi sức tích cực.</w:t>
      </w:r>
    </w:p>
    <w:p w14:paraId="6D510265"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Riêng chi phí về thuốc, máu, dịch truyền, một số vật tư y tế (ngoài các vật tư nêu trên); các loại bơm tiêm, kim tiêm, kim láy thuốc dùng trong tiêm, truyền, bơm cho ăn; dây truyền dịch, ống nối, dây nối bơm tiêm điện, máy truyền dịch dùng trong tiêm, truyền; khí ôxy, dây thở ôxy, mask thở ôxy (trừ các trường hợp người bệnh được chỉ định sử dụng dịch vụ thở máy) chưa tính trong cơ cấu giá tiền giường bệnh, được thanh toán theo thực tế sử dụng cho người bệnh.</w:t>
      </w:r>
    </w:p>
    <w:p w14:paraId="57D5D8FF"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Các chi phí quy định tại điểm b, điểm c khoản 1 Điều này phục vụ việc chăm sóc và điều trị người bệnh theo yêu cầu chuyên môn.</w:t>
      </w:r>
    </w:p>
    <w:p w14:paraId="41F295AA"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3. Các chi phí trực tiếp tính trong giá dịch vụ kỹ thuật y tế</w:t>
      </w:r>
    </w:p>
    <w:p w14:paraId="12646B3C"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Chi phí về quần áo, mũ, khẩu trang, ga, gối, đệm, chiếu, đồ vải; văn phòng phẩm; thuốc, dịch truyền, hóa chất, vật tư tiêu hao, vật tư thay thế sử dụng trong quá trình thực hiện các dịch vụ, kỹ thuật y tế;</w:t>
      </w:r>
    </w:p>
    <w:p w14:paraId="3172936C"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Các chi phí quy định tại điểm b, điểm c khoản 1 Điều này phục vụ cho việc thực hiện các dịch vụ kỹ thuật y tế theo yêu cầu chuyên môn.</w:t>
      </w:r>
    </w:p>
    <w:p w14:paraId="138E59AC"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4. Chi phí tiền lương tính trong giá khám bệnh, ngày giường bệnh và các dịch vụ kỹ thuật y tế, gồm:</w:t>
      </w:r>
    </w:p>
    <w:p w14:paraId="5712E13E"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Tiền lương ngạch bậc, chức vụ, các khoản phụ cấp, các khoản đóng góp theo chế độ do Nhà nước quy định đối với đơn vị sự nghiệp công lập và mức lương cơ sở quy định tại Nghị định số 72/2018/NĐ-CP ngày 15 tháng 5 năm 2018 của Chính phủ quy định mức lương cơ sở đối với cán bộ, công chức, viên chức và lực lượng vũ trang;</w:t>
      </w:r>
    </w:p>
    <w:p w14:paraId="0A57E57D"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Phụ cấp thường trực, phụ cấp phẫu thuật, thủ thuật theo Quyết định số 73/2011/QĐ-TTg ngày 28 tháng 12 năm 2011 của Thủ tướng Chính phủ về việc quy định một số chế độ phụ cấp đặc thù đối với công chức, viên chức, người lao động trong các cơ sở y tế công lập và chế độ phụ cấp chống dịch.</w:t>
      </w:r>
    </w:p>
    <w:p w14:paraId="690B9758"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lastRenderedPageBreak/>
        <w:t>5. Chi phí tiền lương trong giá dịch vụ quy định tại khoản 4 Điều này không bao gồm các khoản chi theo chế độ do ngân sách nhà nước bảo đảm quy định tại các văn bản sau đây:</w:t>
      </w:r>
    </w:p>
    <w:p w14:paraId="7CB9E7E0"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Nghị định số 64/2009/NĐ-CP ngày 30 tháng 7 năm 2009 của Chính phủ về chính sách đối với cán bộ, viên chức y tế công tác ở vùng có điều kiện kinh tế - xã hội đặc biệt khó khăn;</w:t>
      </w:r>
    </w:p>
    <w:p w14:paraId="03018593"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Nghị định số 116/2010/NĐ-CP ngày 24 tháng 12 năm 2010 của Chính phủ về chính sách đối với cán bộ, công chức, viên chức và người hưởng lương thuộc lực lượng vũ trang công tác ở vùng có điều kiện kinh tế - xã hội đặc biệt khó khăn;</w:t>
      </w:r>
    </w:p>
    <w:p w14:paraId="6C6DFBFE"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c) Quyết định số 46/2009/QĐ-TTg ngày 31 tháng 3 năm 2009 của Thủ tướng Chính phủ quy định chế độ phụ cấp đặc thù đối với cán bộ, viên chức công tác tại Bệnh viện Hữu Nghị, Bệnh viện Thống Nhất, Bệnh viện C Đà Nẵng thuộc Bộ Y tế, các Phòng Bảo vệ sức khỏe Trung ương 1, 2, 2B, 3 và 5, Khoa A11 Bệnh viện Trung ương Quân đội 108 và Khoa A11 Viện Y học cổ truyền Quân đội (sau đây gọi tắt là Quyết định số 46/2009/QĐ-TTg) và Quyết định số 20/2015/QĐ-TTg ngày 18 tháng 6 năm 2015 của Thủ tướng Chính phủ về việc sửa đổi, bổ sung một số điều của Quyết định số 46/2009/QĐ-TTg;</w:t>
      </w:r>
    </w:p>
    <w:p w14:paraId="526923D4"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d) Điểm a khoản 8 Điều 6 Nghị định số 204/2004/NĐ-CP ngày 14 tháng 12 năm 2004 của Chính phủ về chế độ tiền lương đối với cán bộ, công chức, viên chức và lực lượng vũ trang và Nghị định số 76/2009/NĐ-CP ngày 15 tháng 9 năm 2009 của Chính phủ về sửa đổi bổ sung một số điều của Nghị định số </w:t>
      </w:r>
      <w:hyperlink r:id="rId16" w:tgtFrame="_blank" w:history="1">
        <w:r>
          <w:rPr>
            <w:rStyle w:val="Hyperlink"/>
            <w:rFonts w:ascii="Arial" w:hAnsi="Arial" w:cs="Arial"/>
            <w:color w:val="135ECD"/>
            <w:sz w:val="21"/>
            <w:szCs w:val="21"/>
          </w:rPr>
          <w:t>204/2004/NĐ-CP</w:t>
        </w:r>
      </w:hyperlink>
      <w:r>
        <w:rPr>
          <w:rFonts w:ascii="Arial" w:hAnsi="Arial" w:cs="Arial"/>
        </w:rPr>
        <w:t> ngày 14 tháng 12 năm 2004 của Chính phủ về chế độ tiền lương đối với cán bộ, công chức, viên chức và lực lượng vũ trang.</w:t>
      </w:r>
    </w:p>
    <w:p w14:paraId="269063CB" w14:textId="77777777" w:rsidR="00F15D69" w:rsidRDefault="00F15D69" w:rsidP="00F15D69">
      <w:pPr>
        <w:pStyle w:val="NormalWeb"/>
        <w:spacing w:after="90" w:afterAutospacing="0" w:line="345" w:lineRule="atLeast"/>
        <w:jc w:val="both"/>
        <w:rPr>
          <w:rFonts w:ascii="Arial" w:hAnsi="Arial" w:cs="Arial"/>
        </w:rPr>
      </w:pPr>
      <w:r>
        <w:rPr>
          <w:rStyle w:val="Strong"/>
          <w:rFonts w:ascii="Arial" w:hAnsi="Arial" w:cs="Arial"/>
          <w:sz w:val="21"/>
          <w:szCs w:val="21"/>
        </w:rPr>
        <w:t>Điều 4. Nguyên tắc và thẩm quyền quyết định giá dịch vụ khám bệnh, chữa bệnh</w:t>
      </w:r>
    </w:p>
    <w:p w14:paraId="0C512C2E"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1. Cơ quan có thẩm quyền quy định tại khoản 2, khoản 3 Điều này quyết định mức giá cụ thể của các dịch vụ khám bệnh, chữa bệnh đối với các cơ sở khám bệnh, chữa bệnh thuộc phạm vi quản lý không được vượt quá mức tối đa khung giá của các dịch vụ khám bệnh, chữa bệnh quy định tại Thông tư này.</w:t>
      </w:r>
    </w:p>
    <w:p w14:paraId="2118947D"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2. Hội đồng nhân dân cấp tỉnh quyết định mức giá cụ thể đối với dịch vụ khám bệnh, chữa bệnh thực hiện tại các cơ sở khám bệnh, chữa bệnh thuộc địa phương quản lý và quyết định mức giá cụ thể hoặc thực hiện áp giá dịch vụ khám bệnh, chữa bệnh đối với một số trường hợp theo nguyên tắc sau:</w:t>
      </w:r>
    </w:p>
    <w:p w14:paraId="47054698"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lastRenderedPageBreak/>
        <w:t>a) Các viện có giường bệnh,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14:paraId="3071FE20"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Các cơ sở khám bệnh, chữa bệnh chưa được phân hạng: áp dụng mức giá của bệnh viện hạng IV;</w:t>
      </w:r>
    </w:p>
    <w:p w14:paraId="202EE15A"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c) Đối với phòng khám đa khoa khu vực:</w:t>
      </w:r>
    </w:p>
    <w:p w14:paraId="4187F75D"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 Trường hợp được cấp giấy phép hoạt động bệnh viện hoặc thuộc trường hợp quy định tại khoản 12 Điều 11 Nghị định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14:paraId="18297112"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14:paraId="08E3818E"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d) Trạm y tế xã, phường, thị trấn</w:t>
      </w:r>
    </w:p>
    <w:p w14:paraId="1AEDD90A"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 Mức giá khám bệnh: áp dụng mức giá của trạm y tế xã. Mức giá các dịch vụ kỹ thuật bằng 70% mức giá của các dịch vụ tại Phụ lục III;</w:t>
      </w:r>
    </w:p>
    <w:p w14:paraId="31AC0DCE"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 Đối với các trạm y tế được Sở Y tế quyết định có giường lưu: áp dụng mức giá bằng 50% mức giá ngày giường nội khoa loại 3 của bệnh viện hạng IV.</w:t>
      </w:r>
    </w:p>
    <w:p w14:paraId="309A6204"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3. Bộ trưởng Bộ Y tế quyết định mức giá cụ thể đối với dịch vụ khám bệnh, chữa bệnh thực hiện tại các cơ sở khám bệnh, chữa bệnh trực thuộc Bộ Y tế và các bệnh viện hạng đặc biệt, bệnh viện hạng I thuộc các Bộ, cơ quan trung ương. Đối với các cơ sở y tế còn lại thuộc các Bộ, cơ quan trung ương việc áp giá dịch vụ khám bệnh, chữa bệnh như sau:</w:t>
      </w:r>
    </w:p>
    <w:p w14:paraId="2DAF068D"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Đối với trạm y tế cơ quan, đơn vị, tổ chức, trạm y tế quân dân y, phòng khám quân dân y: áp dụng giá dịch vụ khám bệnh, chữa bệnh quy định đối với trạm y tế xã, phường, thị trấn của địa phương.</w:t>
      </w:r>
    </w:p>
    <w:p w14:paraId="2E9B138F"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Đối với bệnh xá quân dân y: áp dụng giá dịch vụ khám bệnh, chữa bệnh đối với phòng khám đa khoa khu vực của địa phương.</w:t>
      </w:r>
    </w:p>
    <w:p w14:paraId="0E4A219B"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lastRenderedPageBreak/>
        <w:t>c) Đối với các bệnh viện hạng II, III, IV (bao gồm cả bệnh viện quân dân y): áp dụng giá dịch vụ đối với cơ sở khám bệnh, chữa bệnh cùng hạng của địa phương.</w:t>
      </w:r>
    </w:p>
    <w:p w14:paraId="4CF7E3D1"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d) Đối với các cơ sở khám bệnh, chữa bệnh còn lại khác: áp dụng giá dịch vụ đối với cơ sở khám bệnh, chữa bệnh hạng IV của địa phương.</w:t>
      </w:r>
    </w:p>
    <w:p w14:paraId="5CEB9EB8"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4. Trường hợp cơ sở khám bệnh, chữa bệnh thuộc các Bộ, cơ quan trung ương thực hiện các dịch vụ kỹ thuật chưa có trong quy định giá dịch vụ khám bệnh, chữa bệnh của địa phương thì cơ sở khám bệnh, chữa bệnh phải thực hiện xây dựng phương án giá và báo cáo Bộ Y tế xem xét, quyết định.</w:t>
      </w:r>
    </w:p>
    <w:p w14:paraId="5634D1DC"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5. Đối với dịch vụ kỹ thuật mới theo quy định tại khoản 1, khoản 2 Điều 69 của Luật khám bệnh, chữa bệnh và các dịch vụ kỹ thuật còn lại khác (trừ các dịch vụ đã được Bộ Y tế xếp tương đương về kỹ thuật và chi phí thực hiện) chưa được quy định mức tối đa khung giá:</w:t>
      </w:r>
    </w:p>
    <w:p w14:paraId="4363B6AB"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Cơ sở khám bệnh, chữa bệnh xây dựng và đề xuất mức giá trình cơ quan có thẩm quyền quy định tại Điều 4 Thông tư này tạm thời quyết định mức giá;</w:t>
      </w:r>
    </w:p>
    <w:p w14:paraId="63639E7A"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Định kỳ 6 tháng (vào ngày 30/6 và ngày 31/12 hằng năm) các đơn vị, địa phương tổng hợp báo cáo về Bộ Y tế để xem xét, quy định bổ sung mức tối đa khung giá sau khi có ý kiến thống nhất của Bộ Tài chính.</w:t>
      </w:r>
    </w:p>
    <w:p w14:paraId="7FC39EC9"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c) Trình tự và hồ sơ phương án giá thực hiện theo quy định của pháp luật về giá.</w:t>
      </w:r>
    </w:p>
    <w:p w14:paraId="0EAF7783" w14:textId="77777777" w:rsidR="00F15D69" w:rsidRDefault="00F15D69" w:rsidP="00F15D69">
      <w:pPr>
        <w:pStyle w:val="NormalWeb"/>
        <w:spacing w:after="90" w:afterAutospacing="0" w:line="345" w:lineRule="atLeast"/>
        <w:jc w:val="both"/>
        <w:rPr>
          <w:rFonts w:ascii="Arial" w:hAnsi="Arial" w:cs="Arial"/>
        </w:rPr>
      </w:pPr>
      <w:r>
        <w:rPr>
          <w:rStyle w:val="Strong"/>
          <w:rFonts w:ascii="Arial" w:hAnsi="Arial" w:cs="Arial"/>
          <w:sz w:val="21"/>
          <w:szCs w:val="21"/>
        </w:rPr>
        <w:t>Điều 5. Hướng dẫn thực hiện giá khám bệnh</w:t>
      </w:r>
    </w:p>
    <w:p w14:paraId="7C88A50B"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Số lần và giá khám bệnh trong một số trường hợp được xác định như sau:</w:t>
      </w:r>
    </w:p>
    <w:p w14:paraId="213089A3"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1. Trường hợp người bệnh đến khám bệnh tại khoa khám bệnh sau đó được chỉ định vào điều trị nội trú theo yêu cầu chuyên môn thì việc thanh toán tiền khám bệnh thực hiện theo quy định tại khoản 2 Điều này. Trường hợp không đăng ký khám bệnh tại khoa khám bệnh nhưng đến khám và vào điều trị nội trú tại các khoa lâm sàng theo yêu cầu chuyên môn thì không thanh toán tiền khám bệnh.</w:t>
      </w:r>
    </w:p>
    <w:p w14:paraId="5E1D08C1"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2. Cơ sở khám bệnh, chữa bệnh có tổ chức các phòng khám chuyên khoa tại khoa lâm sàng, người bệnh đăng ký khám bệnh tại khoa khám bệnh và khám tại các phòng khám chuyên khoa của khoa lâm sàng thì được tính như khám bệnh tại khoa khám bệnh. Việc tính chi phí và số lần khám bệnh trường hợp này thực hiện theo hướng dẫn tại khoản 3 Điều này.</w:t>
      </w:r>
    </w:p>
    <w:p w14:paraId="1AE5CC73"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lastRenderedPageBreak/>
        <w:t>3. Trong cùng một lần đến khám bệnh tại cùng một cơ sở y tế (có thể trong cùng một ngày hoặc do điều kiện khách quan hoặc yêu cầu chuyên môn nên chưa hoàn thành được quá trình khám bệnh trong ngày đầu tiên, phải tiếp tục khám trong ngày tiếp theo), người bệnh sau khi khám một chuyên khoa cần phải khám thêm các chuyên khoa khác thì từ lần khám thứ 02 trở đi chỉ tính 30% mức giá của 1 lần khám bệnh và mức thanh toán tối đa chi phí khám bệnh không quá 2 lần mức giá của 1 lần khám bệnh.</w:t>
      </w:r>
    </w:p>
    <w:p w14:paraId="7CE126AC"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4. Người bệnh đến khám bệnh tại cơ sở y tế, đã được khám, cấp thuốc về điều trị nhưng sau đó thấy có biểu hiện bất thường, quay trở lại cơ sở khám bệnh, chữa bệnh để khám lại ngay trong ngày hôm đó và được tiếp tục thăm khám thì lần khám này được coi như là lần khám thứ 02 trở đi trong một ngày. Việc thanh toán thực hiện theo hướng dẫn tại khoản 3 Điều này;</w:t>
      </w:r>
    </w:p>
    <w:p w14:paraId="64959EF3" w14:textId="77777777" w:rsidR="00F15D69" w:rsidRDefault="00F15D69" w:rsidP="00F15D69">
      <w:pPr>
        <w:pStyle w:val="NormalWeb"/>
        <w:spacing w:after="90" w:afterAutospacing="0" w:line="345" w:lineRule="atLeast"/>
        <w:jc w:val="both"/>
        <w:rPr>
          <w:rFonts w:ascii="Arial" w:hAnsi="Arial" w:cs="Arial"/>
        </w:rPr>
      </w:pPr>
      <w:r>
        <w:rPr>
          <w:rStyle w:val="Strong"/>
          <w:rFonts w:ascii="Arial" w:hAnsi="Arial" w:cs="Arial"/>
          <w:sz w:val="21"/>
          <w:szCs w:val="21"/>
        </w:rPr>
        <w:t>Điều 6. Xác định số ngày giường, áp dụng mức giá ngày giường</w:t>
      </w:r>
    </w:p>
    <w:p w14:paraId="5AFFC3E4"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1. Xác định số ngày giường điều trị nội trú để thanh toán tiền giường bệnh:</w:t>
      </w:r>
    </w:p>
    <w:p w14:paraId="210AE616"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Số ngày điều trị nội trú bằng ngày ra viện trừ (–) ngày vào viện cộng (+) 1: áp dụng đối với các trường hợp:</w:t>
      </w:r>
    </w:p>
    <w:p w14:paraId="3A298ED1"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 Người bệnh nặng đang điều trị nội trú mà tình trạng bệnh chưa thuyên giảm, tử vong hoặc diễn biến nặng lên nhưng gia đình xin về hoặc chuyển viện lên tuyến trên;</w:t>
      </w:r>
    </w:p>
    <w:p w14:paraId="6758C3F0"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 Người bệnh đã được điều trị tại tuyến trên qua giai đoạn cấp cứu nhưng vẫn cần tiếp tục điều trị nội trú được chuyển về tuyến dưới hoặc sang cơ sở y tế khác;</w:t>
      </w:r>
    </w:p>
    <w:p w14:paraId="5361AA20"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Số ngày điều trị nội trú bằng ngày ra viện trừ (–) ngày vào viện: áp dụng đối với trường hợp còn lại.</w:t>
      </w:r>
    </w:p>
    <w:p w14:paraId="64C86297"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c) Riêng trường hợp người bệnh vào viện và ra viện trong cùng một ngày (hoặc vào viện ngày hôm trước, ra ngày hôm sau) có thời gian điều trị trên 04 giờ đến dưới 24 thì được tính là 01 ngày điều trị. Trường hợp người bệnh vào khoa cấp cứu, không qua khoa khám bệnh, có thời gian cấp cứu, điều trị từ 04 giờ trở xuống (kể cả trường hợp ra viện, vào viện hoặc chuyển viện, tử vong) được thanh toán tiền khám bệnh, tiền thuốc, vật tư y tế và các dịch vụ kỹ thuật, không thanh toán tiền ngày giường bệnh hồi sức cấp cứu.</w:t>
      </w:r>
    </w:p>
    <w:p w14:paraId="767B3A4E"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 xml:space="preserve">d) Trường hợp người bệnh vào viện và ra viện trong cùng một ngày, có thời gian điều trị từ 04 giờ trở xuống thì được thanh toán tiền khám bệnh, tiền thuốc, vật tư y tế và </w:t>
      </w:r>
      <w:r>
        <w:rPr>
          <w:rFonts w:ascii="Arial" w:hAnsi="Arial" w:cs="Arial"/>
        </w:rPr>
        <w:lastRenderedPageBreak/>
        <w:t>các dịch vụ kỹ thuật mà người bệnh đã sử dụng, không được tính tiền giường điều trị nội trú.</w:t>
      </w:r>
    </w:p>
    <w:p w14:paraId="7078C169"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2. Trường hợp trong cùng một ngày người bệnh chuyển 02 khoa thì mỗi khoa chỉ được tính 1/2 ngày. Trường hợp trong cùng một ngày người bệnh chuyển từ 3 khoa trở lên thì giá ngày giường bệnh hôm đó được tính bằng trung bình cộng tiền ngày giường tại khoa có thời gian nằm điều trị trên 04 giờ có mức giá tiền giường cao nhất và tại khoa có thời gian nằm điều trị trên 04 giờ có mức giá tiền giường thấp nhất.</w:t>
      </w:r>
    </w:p>
    <w:p w14:paraId="63A0DBBE"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3. Giá ngày giường bệnh ngoại khoa, bỏng: áp dụng tối đa không quá 10 ngày sau một lần phẫu thuật. Từ ngày thứ 11 sau phẫu thuật trở đi thì áp dụng mức giá ngày giường nội khoa theo các khoa tương ứng quy định tại mục 3 của Phụ lục II ban hành kèm theo Thông tư này.</w:t>
      </w:r>
    </w:p>
    <w:p w14:paraId="2D1AF8F1"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4. Giá ngày giường bệnh được tính cho 01 người/01 giường. Trường hợp ở cùng một thời điểm phải nằm ghép 02 người/01 giường thì chỉ được thanh toán 1/2 mức giá, trường hợp nằm ghép từ 03 người trở lên thì chỉ được thanh toán 1/3 mức giá ngày giường điều trị tương ứng.</w:t>
      </w:r>
    </w:p>
    <w:p w14:paraId="7ECD051F"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5. Giá ngày giường điều trị Hồi sức tích cực (ICU) chỉ được áp dụng trong các trường hợp sau:</w:t>
      </w:r>
    </w:p>
    <w:p w14:paraId="1A4A72B8"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Đối với bệnh viện hạng đặc biệt, hạng I hoặc hạng II đã thành lập khoa Hồi sức tích cực, khoa hoặc trung tâm chống độc, khoa Hồi sức tích cực - chống độc và các khoa, trung tâm này có đầy đủ các điều kiện để hoạt động theo Quyết định số 01/2008/QĐ-BYT ngày 21 tháng 01 năm 2008 của Bộ trưởng Bộ Y tế về việc ban hành quy chế cấp cứu, hồi sức tích cực và chống độc (sau đây gọi tắt là Quyết định số 01/2008/QĐ-BYT).</w:t>
      </w:r>
    </w:p>
    <w:p w14:paraId="351FCB72"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Trường hợp cơ sở y tế chưa thành lập khoa Hồi sức tích cực nhưng trong khoa Cấp cứu hoặc khoa Gây mê hồi sức có một số giường được sử dụng để điều trị tích cực; giường bệnh sau hậu phẫu của các phẫu thuật loại đặc biệt và các giường bệnh này đáp ứng được yêu cầu về trang bị cho giường hồi sức tích cực quy định tại Quyết định số 01/2008/QĐ-BYT.</w:t>
      </w:r>
    </w:p>
    <w:p w14:paraId="1FCC9CA6"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c) Người bệnh nằm tại các giường này với các bệnh lý phải được chăm sóc, điều trị và theo dõi theo quy chế cấp cứu, hồi sức tích cực và chống độc. Các trường hợp còn lại chỉ được áp dụng mức giá ngày giường hồi sức cấp cứu và các loại giường khác quy định Phụ lục II ban hành kèm theo Thông tư này.</w:t>
      </w:r>
    </w:p>
    <w:p w14:paraId="07A243AE"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lastRenderedPageBreak/>
        <w:t>6. Đối với các khoa điều trị lâm sàng có giường hồi sức cấp cứu (ví dụ khoa Nhi có giường hồi sức cấp cứu nhi, các khoa sơ sinh hoặc chăm sóc đặc biệt đối với trẻ sơ sinh thiếu tháng): được áp dụng giá ngày giường hồi sức cấp cứu quy định tại dịch vụ số 2 Phụ lục II ban hành kèm theo Thông tư này.</w:t>
      </w:r>
    </w:p>
    <w:p w14:paraId="770B269A"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7. Bệnh viện hạng III, hạng IV hoặc chưa xếp hạng nhưng được cơ quan có thẩm quyền phê duyệt thực hiện phẫu thuật loại đặc biệt thì áp dụng mức giá tiền giường ngoại khoa cao nhất của bệnh viện nơi thực hiện dịch vụ đó.</w:t>
      </w:r>
    </w:p>
    <w:p w14:paraId="01D4CB39"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Ví dụ: Tại Bệnh viện A được phê duyệt thực hiện phẫu thuật loại đặc biệt: Nếu Bệnh viện được xếp hạng III thì được áp dụng mức giá ngày giường bệnh ngoại khoa sau phẫu thuật loại I của bệnh viện hạng III; nếu Bệnh viện được xếp hạng IV hoặc chưa xếp hạng thì được áp dụng mức giá ngày giường bệnh ngoại khoa sau phẫu thuật loại I của bệnh viện hạng IV.</w:t>
      </w:r>
    </w:p>
    <w:p w14:paraId="5B850520"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8. Trường hợp một phẫu thuật nhưng được phân loại khác nhau theo các chuyên khoa (trừ chuyên khoa nhi) tại Thông tư số 50/2014/TT-BYT ngày 26 tháng 12 năm 2014 của Bộ trưởng Bộ Y tế quy định phân loại phẫu thuật, thủ thuật và định mức nhân lực trong từng ca phẫu thuật, thủ thuật (sau đây gọi tắt là Thông tư số 50): áp dụng mức giá ngày giường bệnh ngoại khoa, bỏng theo phân loại phẫu thuật thấp nhất.</w:t>
      </w:r>
    </w:p>
    <w:p w14:paraId="1922780B"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9. Các phẫu thuật được Bộ Y tế xếp tương đương với một phẫu thuật quy định tại Thông tư này nhưng có phân loại phẫu thuật khác nhau theo từng chuyên khoa tại Thông tư số 50 thì áp dụng mức giá ngày giường bệnh ngoại khoa, bỏng theo phân loại của phẫu thuật đó đã quy định tại Thông tư số 50.</w:t>
      </w:r>
    </w:p>
    <w:p w14:paraId="5A63F930"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10. Các phẫu thuật chưa được phân loại phẫu thuật quy định tại Thông tư số 50 thì áp dụng mức giá ngày giường ngoại khoa loại 4 của hạng bệnh viện tương ứng.</w:t>
      </w:r>
    </w:p>
    <w:p w14:paraId="485B934F"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11. Đối với các bệnh viện y học cổ truyền hạng I trực thuộc Bộ Y tế: giá ngày giường bệnh áp dụng theo các khoa tương ứng với các loại giường của bệnh viện hạng I, không áp dụng giá của các bệnh viện chuyên khoa trực thuộc Bộ Y tế tại Hà Nội và Thành phố Hồ Chí Minh.</w:t>
      </w:r>
    </w:p>
    <w:p w14:paraId="7C2F149D"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12. Đối với các khoa thuộc bệnh viện y học cổ truyền (trừ các bệnh viện quy định tại khoản 11 Điều này), bệnh viện điều dưỡng phục hồi chức năng:</w:t>
      </w:r>
    </w:p>
    <w:p w14:paraId="3536BFD9"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Giường Hồi sức tích cực (ICU): theo quy định tại khoản 5 Điều này;</w:t>
      </w:r>
    </w:p>
    <w:p w14:paraId="106AC891"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Giường Hồi sức Cấp cứu: theo quy định tại khoản 6 Điều này;</w:t>
      </w:r>
    </w:p>
    <w:p w14:paraId="6B9D2942"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lastRenderedPageBreak/>
        <w:t>c) Người bệnh điều trị tại các khoa ung thư, nhi: áp dụng giá ngày giường nội khoa loại 1;</w:t>
      </w:r>
    </w:p>
    <w:p w14:paraId="0744A6DE"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d) Người bệnh điều trị một trong các bệnh: tổn thương tủy sống, tai biến mạch máu não, chấn thương sọ não: áp dụng giá ngày giường nội khoa loại 2;</w:t>
      </w:r>
    </w:p>
    <w:p w14:paraId="6FC236B0"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đ) Người bệnh điều trị tại các khoa còn lại: áp dụng giá ngày giường nội khoa loại 3.</w:t>
      </w:r>
    </w:p>
    <w:p w14:paraId="08B8E5F1"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13. Đối với các cơ sở y tế tổ chức các khoa theo hình thức liên chuyên khoa: áp dụng mức giá ngày giường nội khoa của chuyên khoa thấp nhất trong các khoa tương ứng với hạng bệnh viện.</w:t>
      </w:r>
    </w:p>
    <w:p w14:paraId="385A0686"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14. Trường hợp người bệnh nằm trên băng ca, giường gấp: áp dụng mức giá bằng 50% giá ngày giường theo từng loại chuyên khoa quy định tại Phụ lục II ban hành kèm theo Thông tư này.</w:t>
      </w:r>
    </w:p>
    <w:p w14:paraId="70B91074" w14:textId="77777777" w:rsidR="00F15D69" w:rsidRDefault="00F15D69" w:rsidP="00F15D69">
      <w:pPr>
        <w:pStyle w:val="NormalWeb"/>
        <w:spacing w:after="90" w:afterAutospacing="0" w:line="345" w:lineRule="atLeast"/>
        <w:jc w:val="both"/>
        <w:rPr>
          <w:rFonts w:ascii="Arial" w:hAnsi="Arial" w:cs="Arial"/>
        </w:rPr>
      </w:pPr>
      <w:r>
        <w:rPr>
          <w:rStyle w:val="Strong"/>
          <w:rFonts w:ascii="Arial" w:hAnsi="Arial" w:cs="Arial"/>
          <w:sz w:val="21"/>
          <w:szCs w:val="21"/>
        </w:rPr>
        <w:t>Điều 7. Hướng dẫn thực hiện giá dịch vụ kỹ thuật và xét nghiệm</w:t>
      </w:r>
    </w:p>
    <w:p w14:paraId="06B920D0"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1. Các dịch vụ kỹ thuật y tế được áp dụng theo thứ tự như sau:</w:t>
      </w:r>
    </w:p>
    <w:p w14:paraId="072C89FB"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Đối với các dịch vụ cụ thể đã được quy định mức giá tại các phụ lục ban hành kèm theo Thông tư này: áp dụng theo mức giá đã được quy định.</w:t>
      </w:r>
    </w:p>
    <w:p w14:paraId="52B6216C"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Các dịch vụ kỹ thuật chưa được quy định mức giá tại các phụ lục ban hành kèm theo Thông tư này nhưng đã được xếp tương đương về kỹ thuật và chi phí thực hiện: áp dụng theo mức giá của các dịch vụ được Bộ Y tế xếp tương đương về kỹ thuật và chi phí thực hiện.</w:t>
      </w:r>
    </w:p>
    <w:p w14:paraId="302D11C3"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c) Trường hợp có sự trùng lặp giữa các chuyên khoa khác nhau thì dịch vụ kỹ thuật thực hiện ở chuyên khoa nào sẽ áp dụng mức giá của dịch vụ kỹ thuật ở chuyên khoa đó.</w:t>
      </w:r>
    </w:p>
    <w:p w14:paraId="4C0F4466"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2. Đối với các dịch vụ kỹ thuật đã được cơ quan có thẩm quyền (các Bộ, cơ quan trung ương đối với đơn vị thuộc trung ương quản lý, Sở Y tế đối với đơn vị thuộc địa phương quản lý) phê duyệt danh mục dịch vụ kỹ thuật (trừ các dịch vụ chăm sóc đã tính trong chi phí ngày giường điều trị, các dịch vụ là một công đoạn đã được tính trong chi phí của dịch vụ khác) nhưng chưa được quy định mức giá; các dịch vụ kỹ thuật đã được chỉ định thực hiện nhưng vì nguyên nhân diễn biến bệnh hoặc thể trạng người bệnh nên không thể tiếp tục thực hiện được kỹ thuật đã chỉ định: thanh toán theo số lượng thực tế các loại thuốc, vật tư đã sử dụng cho người bệnh và giá mua theo quy định của pháp luật.</w:t>
      </w:r>
    </w:p>
    <w:p w14:paraId="00BFDFBD"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lastRenderedPageBreak/>
        <w:t>3. Trường hợp thực hiện nhiều can thiệp trong cùng một lần phẫu thuật: thanh toán theo giá của phẫu thuật phức tạp nhất, có mức giá cao nhất, các dịch vụ kỹ thuật khác phát sinh ngoài quy trình kỹ thuật của phẫu thuật nêu trên được thanh toán như sau:</w:t>
      </w:r>
    </w:p>
    <w:p w14:paraId="5BF7119A"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Bằng 50% giá của các phẫu thuật phát sinh nếu kỹ thuật đó vẫn do một kíp phẫu thuật thực hiện;</w:t>
      </w:r>
    </w:p>
    <w:p w14:paraId="306B26C6"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Bằng 80% giá của các phẫu thuật phát sinh nếu kỹ thuật đó phải thay kíp phẫu thuật khác để thực hiện;</w:t>
      </w:r>
    </w:p>
    <w:p w14:paraId="19BB5977"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c) Trường hợp thực hiện dịch vụ phát sinh là các thủ thuật thì thanh toán 80% giá của dịch vụ phát sinh.</w:t>
      </w:r>
    </w:p>
    <w:p w14:paraId="4363F469"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4. Đối với dịch vụ “Thay băng vết thương hoặc vết mổ chiều dài ≤15 cm”: chỉ áp dụng đối với người bệnh điều trị nội trú trong các trường hợp sau: vết thương hoặc vết mổ nhiễm trùng; vết thương có thấm dịch, máu trong các tổn thương lóc da, hở da diện tích trên 6 cm</w:t>
      </w:r>
      <w:r>
        <w:rPr>
          <w:rFonts w:ascii="Arial" w:hAnsi="Arial" w:cs="Arial"/>
          <w:sz w:val="21"/>
          <w:szCs w:val="21"/>
          <w:vertAlign w:val="superscript"/>
        </w:rPr>
        <w:t>2</w:t>
      </w:r>
      <w:r>
        <w:rPr>
          <w:rFonts w:ascii="Arial" w:hAnsi="Arial" w:cs="Arial"/>
        </w:rPr>
        <w:t>; vết thương đã có chèn gạc; vết thương chân ống dẫn lưu chảy dịch nhiều; đa vết thương hoặc vết mổ; hoặc sau 1 phẫu thuật nhưng phải thực hiện từ hai đường mổ trở lên; không áp dụng đối với thay băng trong các trường hợp sau: phẫu thuật nội soi, thay băng vết mổ, vết thương thông thường, thay băng rốn sơ sinh.</w:t>
      </w:r>
    </w:p>
    <w:p w14:paraId="6CA4333D"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5. Đối với dịch vụ “Thay băng vết mổ có chiều dài trên 15 cm đến 30 cm” trong điều trị nội trú chỉ áp dụng đối với một số trường hợp sau:</w:t>
      </w:r>
    </w:p>
    <w:p w14:paraId="724E95DB"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Vết mổ nhiễm trùng, rò tiêu hóa, rò mật, rò nước tiểu;</w:t>
      </w:r>
    </w:p>
    <w:p w14:paraId="4BD7E593"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Vết mổ sau phẫu thuật nhiễm khuẩn (viêm phúc mạc bụng hoặc viêm xương hoặc áp xe), vết mổ sau phẫu thuật ống tiêu hóa hoặc hệ tiết niệu hoặc đường mật hoặc bụng cổ chướng;</w:t>
      </w:r>
    </w:p>
    <w:p w14:paraId="348F0B59"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c) Vết mổ sau một phẫu thuật nhưng phải thực hiện từ hai đường mổ trở lên;</w:t>
      </w:r>
    </w:p>
    <w:p w14:paraId="6EB33217"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d) Trường hợp phẫu thuật mổ lấy thai: được áp dụng mức giá này nhưng tối đa không quá 03 lần.</w:t>
      </w:r>
    </w:p>
    <w:p w14:paraId="6B95979C"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6. Đối với xét nghiệm hòa hợp miễn dịch ở nhiệt độ 37ºC và có sử dụng huyết thanh kháng globulin (nghiệm pháp Coombs gián tiếp) trong truyền máu: Thanh toán theo giá của dịch vụ “Phản ứng hòa hợp có sử dụng kháng globulin người” có số thứ tự 1340 hoặc 1341 tại Phụ lục III.</w:t>
      </w:r>
    </w:p>
    <w:p w14:paraId="64E6343B" w14:textId="77777777" w:rsidR="00F15D69" w:rsidRDefault="00F15D69" w:rsidP="00F15D69">
      <w:pPr>
        <w:pStyle w:val="NormalWeb"/>
        <w:spacing w:after="90" w:afterAutospacing="0" w:line="345" w:lineRule="atLeast"/>
        <w:jc w:val="both"/>
        <w:rPr>
          <w:rFonts w:ascii="Arial" w:hAnsi="Arial" w:cs="Arial"/>
        </w:rPr>
      </w:pPr>
      <w:r>
        <w:rPr>
          <w:rStyle w:val="Strong"/>
          <w:rFonts w:ascii="Arial" w:hAnsi="Arial" w:cs="Arial"/>
          <w:sz w:val="21"/>
          <w:szCs w:val="21"/>
        </w:rPr>
        <w:t>Điều 8. Tổ chức thực hiện</w:t>
      </w:r>
    </w:p>
    <w:p w14:paraId="6E6E9F4F"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lastRenderedPageBreak/>
        <w:t>1. Ngân sách bảo đảm kinh phí theo phân cấp ngân sách hiện hành đối với:</w:t>
      </w:r>
    </w:p>
    <w:p w14:paraId="24E29EC6"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Các khoản chi theo chế độ quy định tại các văn bản nêu tại khoản 5 Điều 3 Thông tư này;</w:t>
      </w:r>
    </w:p>
    <w:p w14:paraId="24F1DC30"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Ngân sách nhà nước bảo đảm để thực hiện cải cách chính sách tiền lương theo các quy định hiện hành của Chính phủ quy định mức lương cơ sở đối với cán bộ, công chức, viên chức và lực lượng vũ trang.</w:t>
      </w:r>
    </w:p>
    <w:p w14:paraId="6D98D123"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c) Trường hợp nguồn tài chính của đơn vị không đảm bảo hoạt động thường xuyên, đơn vị được cơ quan có thẩm quyền phân loại là đơn vị sự nghiệp công tự bảo đảm một phần chi thường xuyên hoặc đơn vị sự nghiệp công do nhà nước bảo đảm chi thường xuyên.</w:t>
      </w:r>
    </w:p>
    <w:p w14:paraId="1A9C124B"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2. Trách nhiệm của Bộ Y tế:</w:t>
      </w:r>
    </w:p>
    <w:p w14:paraId="70769458"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Giao Vụ Kế hoạch - Tài chính làm đầu mối, phối hợp với các đơn vị có liên quan tổ chức triển khai, kiểm tra, sơ kết, tổng kết việc thực hiện Thông tư này trên phạm vi toàn quốc;</w:t>
      </w:r>
    </w:p>
    <w:p w14:paraId="1025F0A7"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Thống nhất với Bộ Tài chính để xem xét, điều chỉnh mức tối đa khung giá của các dịch vụ khám bệnh, chữa bệnh quy định tại các phụ lục ban hành kèm theo Thông tư này khi bổ sung các yếu tố hình thành giá theo lộ trình, điều chỉnh định mức kinh tế kỹ thuật hoặc chi phí của các yếu tố hình thành giá thay đổi.</w:t>
      </w:r>
    </w:p>
    <w:p w14:paraId="1A8DF3BD"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3. Trách nhiệm của Sở Y tế:</w:t>
      </w:r>
    </w:p>
    <w:p w14:paraId="52CC4E8F"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Chủ trì, thống nhất với Sở Tài chính báo cáo Ủy ban nhân dân cấp tỉnh để trình Hội đồng nhân dân cấp tỉnh xem xét, quyết định giá dịch vụ và thời điểm thực hiện đối với các cơ sở khám bệnh, chữa bệnh thuộc thẩm quyền quản lý của địa phương.</w:t>
      </w:r>
    </w:p>
    <w:p w14:paraId="02EEA6EF"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Chủ trì, phối hợp với các đơn vị có liên quan tổ chức triển khai, kiểm tra, giám sát, sơ kết, tổng kết việc thực hiện Thông tư này trên địa bàn quản lý.</w:t>
      </w:r>
    </w:p>
    <w:p w14:paraId="1886D048"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c) Chỉ đạo các cơ sở khám bệnh, chữa bệnh thuộc địa phương quản lý tiếp tục thực hiện nghiêm các quy định về chuyên môn, thực hiện đồng bộ các giải pháp để nâng cao chất lượng dịch vụ.</w:t>
      </w:r>
    </w:p>
    <w:p w14:paraId="06F10924"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d) Báo cáo cấp có thẩm quyền giao giường bệnh, quyết định số lượng người làm việc cho các cơ sở y tế thuộc địa phương quản lý để các cơ sở y tế có đủ giường bệnh, nhân lực đáp ứng nhu cầu và nâng cao chất lượng dịch vụ khám, chữa bệnh cho nhân dân.</w:t>
      </w:r>
    </w:p>
    <w:p w14:paraId="67F87049"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lastRenderedPageBreak/>
        <w:t>4. Trách nhiệm của các cơ sở khám, chữa bệnh:</w:t>
      </w:r>
    </w:p>
    <w:p w14:paraId="40F881ED"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Phải sử dụng số kinh phí tương đương với chi phí duy tu, bảo dưỡng thiết bị, mua thay thế công cụ, dụng cụ đã kết cấu trong giá dịch vụ khám bệnh, ngày giường điều trị (bệnh viện hạng đặc biệt, hạng I, hạng II tương đương với 5% mức giá, bệnh viện hạng III, hạng IV, chưa phân hạng tương đương với 3% mức giá) để sửa chữa, nâng cấp, mở rộng khu vực khám bệnh, các khoa điều trị; mua bổ sung, thay thế: bàn, ghế, giường, tủ, xe đẩy, điều hòa nhiệt độ, quạt, đèn sưởi, quạt sưởi, máy tính, các bộ dụng cụ khám bệnh đa khoa, chuyên khoa; chăn, ga, gối, đệm, chiếu; … để bảo đảm điều kiện chuyên môn, vệ sinh, an toàn người bệnh và nâng cao chất lượng phục vụ người bệnh.</w:t>
      </w:r>
    </w:p>
    <w:p w14:paraId="189D4009"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Thực hiện nghiêm các quy định về chuyên môn y tế, đặc biệt là việc chỉ định người bệnh vào điều trị nội trú; chuyển tuyến, chỉ định sử dụng dịch vụ, thuốc, vật tư theo đúng quy định.</w:t>
      </w:r>
    </w:p>
    <w:p w14:paraId="63AE5210" w14:textId="77777777" w:rsidR="00F15D69" w:rsidRDefault="00F15D69" w:rsidP="00F15D69">
      <w:pPr>
        <w:pStyle w:val="NormalWeb"/>
        <w:spacing w:after="90" w:afterAutospacing="0" w:line="345" w:lineRule="atLeast"/>
        <w:jc w:val="both"/>
        <w:rPr>
          <w:rFonts w:ascii="Arial" w:hAnsi="Arial" w:cs="Arial"/>
        </w:rPr>
      </w:pPr>
      <w:r>
        <w:rPr>
          <w:rStyle w:val="Strong"/>
          <w:rFonts w:ascii="Arial" w:hAnsi="Arial" w:cs="Arial"/>
          <w:sz w:val="21"/>
          <w:szCs w:val="21"/>
        </w:rPr>
        <w:t>Điều 9. Điều khoản tham chiếu</w:t>
      </w:r>
    </w:p>
    <w:p w14:paraId="318F23E1"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Trường hợp các văn bản được dẫn chiếu trong Thông tư này bị thay thế hoặc sửa đổi, bổ sung thì thực hiện theo văn bản đã thay thế hoặc văn bản đã được sửa đổi, bổ sung đó.</w:t>
      </w:r>
    </w:p>
    <w:p w14:paraId="5B603013" w14:textId="77777777" w:rsidR="00F15D69" w:rsidRDefault="00F15D69" w:rsidP="00F15D69">
      <w:pPr>
        <w:pStyle w:val="NormalWeb"/>
        <w:spacing w:after="90" w:afterAutospacing="0" w:line="345" w:lineRule="atLeast"/>
        <w:jc w:val="both"/>
        <w:rPr>
          <w:rFonts w:ascii="Arial" w:hAnsi="Arial" w:cs="Arial"/>
        </w:rPr>
      </w:pPr>
      <w:r>
        <w:rPr>
          <w:rStyle w:val="Strong"/>
          <w:rFonts w:ascii="Arial" w:hAnsi="Arial" w:cs="Arial"/>
          <w:sz w:val="21"/>
          <w:szCs w:val="21"/>
        </w:rPr>
        <w:t>Điều 10. Điều khoản thi hành</w:t>
      </w:r>
    </w:p>
    <w:p w14:paraId="142131BB"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1. Thông tư này có hiệu lực thi hành từ ngày 15 tháng 01 năm 2019.</w:t>
      </w:r>
    </w:p>
    <w:p w14:paraId="587D8AD4"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2. Các văn bản sau đây hết hiệu lực thi hành kể từ ngày 15 tháng 01 năm 2019:</w:t>
      </w:r>
    </w:p>
    <w:p w14:paraId="6343D42F"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a) Thông tư số 02/2017/TT-BYT ngày 15 tháng 3 năm 2017 của Bộ Y tế 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w:t>
      </w:r>
    </w:p>
    <w:p w14:paraId="3C3001DD"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b) Thông tư số 44/2017/TT-BYT ngày 16 tháng 11 năm 2017 của Bộ Y tế sửa đổi Thông tư số 02/2017/TT-BYT ngày 15 tháng 3 năm 2017 của Bộ Y tế 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w:t>
      </w:r>
    </w:p>
    <w:p w14:paraId="18C45F9E" w14:textId="77777777" w:rsidR="00F15D69" w:rsidRDefault="00F15D69" w:rsidP="00F15D69">
      <w:pPr>
        <w:pStyle w:val="NormalWeb"/>
        <w:spacing w:after="90" w:afterAutospacing="0" w:line="345" w:lineRule="atLeast"/>
        <w:jc w:val="both"/>
        <w:rPr>
          <w:rFonts w:ascii="Arial" w:hAnsi="Arial" w:cs="Arial"/>
        </w:rPr>
      </w:pPr>
      <w:r>
        <w:rPr>
          <w:rStyle w:val="Strong"/>
          <w:rFonts w:ascii="Arial" w:hAnsi="Arial" w:cs="Arial"/>
          <w:sz w:val="21"/>
          <w:szCs w:val="21"/>
        </w:rPr>
        <w:t>Điều 11. Điều khoản chuyển tiếp</w:t>
      </w:r>
    </w:p>
    <w:p w14:paraId="4094EC31"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lastRenderedPageBreak/>
        <w:t>Trong thời gian chờ cơ quan có thẩm quyền quyết định mức giá khám bệnh, chữa bệnh theo quy định tại Thông tư này, các cơ sở khám bệnh, chữa bệnh được tiếp tục thực hiện mức giá đã được quy định cho đến khi cơ quan có thẩm quyền quyết định mức giá theo quy định tại Thông tư này.</w:t>
      </w:r>
    </w:p>
    <w:p w14:paraId="2C35EBB1" w14:textId="77777777" w:rsidR="00F15D69" w:rsidRDefault="00F15D69" w:rsidP="00F15D69">
      <w:pPr>
        <w:pStyle w:val="NormalWeb"/>
        <w:spacing w:after="90" w:afterAutospacing="0" w:line="345" w:lineRule="atLeast"/>
        <w:jc w:val="both"/>
        <w:rPr>
          <w:rFonts w:ascii="Arial" w:hAnsi="Arial" w:cs="Arial"/>
        </w:rPr>
      </w:pPr>
      <w:r>
        <w:rPr>
          <w:rFonts w:ascii="Arial" w:hAnsi="Arial" w:cs="Arial"/>
        </w:rPr>
        <w:t>Trong quá trình thực hiện nếu có khó khăn, vướng mắc đề nghị các đơn vị, địa phương phản ánh bằng văn bản về Bộ Y tế để xem xét, giải quyết./.</w:t>
      </w:r>
    </w:p>
    <w:tbl>
      <w:tblPr>
        <w:tblW w:w="882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39"/>
        <w:gridCol w:w="3489"/>
      </w:tblGrid>
      <w:tr w:rsidR="00F15D69" w14:paraId="25226DFF" w14:textId="77777777" w:rsidTr="00F15D69">
        <w:trPr>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FC19D" w14:textId="77777777" w:rsidR="00F15D69" w:rsidRDefault="00F15D69">
            <w:pPr>
              <w:pStyle w:val="NormalWeb"/>
              <w:spacing w:after="90" w:afterAutospacing="0" w:line="345" w:lineRule="atLeast"/>
              <w:jc w:val="both"/>
              <w:rPr>
                <w:rFonts w:ascii="Arial" w:hAnsi="Arial" w:cs="Arial"/>
                <w:sz w:val="21"/>
                <w:szCs w:val="21"/>
              </w:rPr>
            </w:pPr>
          </w:p>
          <w:p w14:paraId="2AD3757C" w14:textId="77777777" w:rsidR="00F15D69" w:rsidRDefault="00F15D69" w:rsidP="00F15D69">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 :</w:t>
            </w:r>
            <w:r>
              <w:rPr>
                <w:rFonts w:ascii="Arial" w:hAnsi="Arial" w:cs="Arial"/>
                <w:sz w:val="21"/>
                <w:szCs w:val="21"/>
              </w:rPr>
              <w:br/>
              <w:t>- Thủ tướng Chính phủ,</w:t>
            </w:r>
            <w:r>
              <w:rPr>
                <w:rFonts w:ascii="Arial" w:hAnsi="Arial" w:cs="Arial"/>
                <w:sz w:val="21"/>
                <w:szCs w:val="21"/>
              </w:rPr>
              <w:br/>
              <w:t>- Các Phó Thủ tướng Chính phủ;</w:t>
            </w:r>
            <w:r>
              <w:rPr>
                <w:rFonts w:ascii="Arial" w:hAnsi="Arial" w:cs="Arial"/>
                <w:sz w:val="21"/>
                <w:szCs w:val="21"/>
              </w:rPr>
              <w:br/>
              <w:t>- Văn phòng Chính phủ;</w:t>
            </w:r>
            <w:r>
              <w:rPr>
                <w:rFonts w:ascii="Arial" w:hAnsi="Arial" w:cs="Arial"/>
                <w:sz w:val="21"/>
                <w:szCs w:val="21"/>
              </w:rPr>
              <w:br/>
              <w:t>- Văn phòng Chủ tịch nước;</w:t>
            </w:r>
            <w:r>
              <w:rPr>
                <w:rFonts w:ascii="Arial" w:hAnsi="Arial" w:cs="Arial"/>
                <w:sz w:val="21"/>
                <w:szCs w:val="21"/>
              </w:rPr>
              <w:br/>
              <w:t>- Văn phòng Quốc hội;</w:t>
            </w:r>
            <w:r>
              <w:rPr>
                <w:rFonts w:ascii="Arial" w:hAnsi="Arial" w:cs="Arial"/>
                <w:sz w:val="21"/>
                <w:szCs w:val="21"/>
              </w:rPr>
              <w:br/>
              <w:t>- Văn phòng Trung ương và các Ban của Đảng;</w:t>
            </w:r>
            <w:r>
              <w:rPr>
                <w:rFonts w:ascii="Arial" w:hAnsi="Arial" w:cs="Arial"/>
                <w:sz w:val="21"/>
                <w:szCs w:val="21"/>
              </w:rPr>
              <w:br/>
              <w:t>- Hội đồng Dân tộc và các UB của Quốc hội;</w:t>
            </w:r>
            <w:r>
              <w:rPr>
                <w:rFonts w:ascii="Arial" w:hAnsi="Arial" w:cs="Arial"/>
                <w:sz w:val="21"/>
                <w:szCs w:val="21"/>
              </w:rPr>
              <w:br/>
              <w:t>- Công báo; Cổng TTĐT Chính phủ;</w:t>
            </w:r>
            <w:r>
              <w:rPr>
                <w:rFonts w:ascii="Arial" w:hAnsi="Arial" w:cs="Arial"/>
                <w:sz w:val="21"/>
                <w:szCs w:val="21"/>
              </w:rPr>
              <w:br/>
              <w:t>- Các Bộ, cơ quan ngang Bộ, cơ quan thuộc Chính phủ;</w:t>
            </w:r>
            <w:r>
              <w:rPr>
                <w:rFonts w:ascii="Arial" w:hAnsi="Arial" w:cs="Arial"/>
                <w:sz w:val="21"/>
                <w:szCs w:val="21"/>
              </w:rPr>
              <w:br/>
              <w:t>- Toà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Cục kiểm tra văn bản QPPL-Bộ Tư pháp;</w:t>
            </w:r>
            <w:r>
              <w:rPr>
                <w:rFonts w:ascii="Arial" w:hAnsi="Arial" w:cs="Arial"/>
                <w:sz w:val="21"/>
                <w:szCs w:val="21"/>
              </w:rPr>
              <w:br/>
              <w:t>- Uỷ ban TW Mặt trận Tổ quốc Việt Nam;</w:t>
            </w:r>
            <w:r>
              <w:rPr>
                <w:rFonts w:ascii="Arial" w:hAnsi="Arial" w:cs="Arial"/>
                <w:sz w:val="21"/>
                <w:szCs w:val="21"/>
              </w:rPr>
              <w:br/>
              <w:t>- Cơ quan Trung ương của các đoàn thể;</w:t>
            </w:r>
            <w:r>
              <w:rPr>
                <w:rFonts w:ascii="Arial" w:hAnsi="Arial" w:cs="Arial"/>
                <w:sz w:val="21"/>
                <w:szCs w:val="21"/>
              </w:rPr>
              <w:br/>
              <w:t>- HĐND, UBND các tỉnh, thành phố trực thuộc TW;</w:t>
            </w:r>
            <w:r>
              <w:rPr>
                <w:rFonts w:ascii="Arial" w:hAnsi="Arial" w:cs="Arial"/>
                <w:sz w:val="21"/>
                <w:szCs w:val="21"/>
              </w:rPr>
              <w:br/>
              <w:t>- Cổng TTĐT Bộ Y tế;</w:t>
            </w:r>
            <w:r>
              <w:rPr>
                <w:rFonts w:ascii="Arial" w:hAnsi="Arial" w:cs="Arial"/>
                <w:sz w:val="21"/>
                <w:szCs w:val="21"/>
              </w:rPr>
              <w:br/>
              <w:t>- Sở Y tế, Sở Tài chính các tỉnh, thành phố trực thuộc TW;</w:t>
            </w:r>
            <w:r>
              <w:rPr>
                <w:rFonts w:ascii="Arial" w:hAnsi="Arial" w:cs="Arial"/>
                <w:sz w:val="21"/>
                <w:szCs w:val="21"/>
              </w:rPr>
              <w:br/>
              <w:t>- Các Vụ, Cục, Tổng cục, Thanh tra, các đơn vị trực thuộc Bộ Y tế;</w:t>
            </w:r>
            <w:r>
              <w:rPr>
                <w:rFonts w:ascii="Arial" w:hAnsi="Arial" w:cs="Arial"/>
                <w:sz w:val="21"/>
                <w:szCs w:val="21"/>
              </w:rPr>
              <w:br/>
              <w:t>- Lưu: VT, KHTC(02), PC(02).</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EDA89" w14:textId="77777777" w:rsidR="00F15D69" w:rsidRDefault="00F15D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Nguyễn Trường Sơn</w:t>
            </w:r>
          </w:p>
        </w:tc>
      </w:tr>
    </w:tbl>
    <w:p w14:paraId="34E29A44" w14:textId="77777777" w:rsidR="00F15D69" w:rsidRDefault="00F15D69" w:rsidP="00F15D69">
      <w:pPr>
        <w:pStyle w:val="NormalWeb"/>
        <w:spacing w:after="90" w:afterAutospacing="0" w:line="345" w:lineRule="atLeast"/>
        <w:jc w:val="both"/>
        <w:rPr>
          <w:rFonts w:ascii="Arial" w:hAnsi="Arial" w:cs="Arial"/>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tblGrid>
      <w:tr w:rsidR="00F15D69" w14:paraId="151AB7DC" w14:textId="77777777" w:rsidTr="00F15D69">
        <w:trPr>
          <w:tblCellSpacing w:w="0" w:type="dxa"/>
          <w:jc w:val="center"/>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4F93E" w14:textId="77777777" w:rsidR="00F15D69" w:rsidRDefault="00F15D69">
            <w:pPr>
              <w:pStyle w:val="NormalWeb"/>
              <w:spacing w:after="90" w:afterAutospacing="0" w:line="345" w:lineRule="atLeast"/>
              <w:jc w:val="center"/>
              <w:rPr>
                <w:rFonts w:ascii="Arial" w:hAnsi="Arial" w:cs="Arial"/>
                <w:sz w:val="21"/>
                <w:szCs w:val="21"/>
              </w:rPr>
            </w:pPr>
            <w:r>
              <w:rPr>
                <w:rFonts w:ascii="Arial" w:hAnsi="Arial" w:cs="Arial"/>
                <w:sz w:val="21"/>
                <w:szCs w:val="21"/>
              </w:rPr>
              <w:t> &gt;&gt; </w:t>
            </w:r>
            <w:hyperlink r:id="rId17" w:history="1">
              <w:r>
                <w:rPr>
                  <w:rStyle w:val="Hyperlink"/>
                  <w:rFonts w:ascii="Arial" w:hAnsi="Arial" w:cs="Arial"/>
                  <w:b/>
                  <w:bCs/>
                  <w:color w:val="135ECD"/>
                  <w:sz w:val="21"/>
                  <w:szCs w:val="21"/>
                </w:rPr>
                <w:t>FILE ĐƯỢC ĐÍNH KÈM THEO VĂN BẢN</w:t>
              </w:r>
            </w:hyperlink>
            <w:r>
              <w:rPr>
                <w:rFonts w:ascii="Arial" w:hAnsi="Arial" w:cs="Arial"/>
                <w:sz w:val="21"/>
                <w:szCs w:val="21"/>
              </w:rPr>
              <w:t> &lt;&lt;</w:t>
            </w:r>
          </w:p>
        </w:tc>
      </w:tr>
    </w:tbl>
    <w:p w14:paraId="3D0C41F9" w14:textId="77777777" w:rsidR="00F15D69" w:rsidRDefault="00F15D69" w:rsidP="00F15D69">
      <w:pPr>
        <w:spacing w:line="375" w:lineRule="atLeast"/>
        <w:jc w:val="both"/>
        <w:rPr>
          <w:rFonts w:ascii="Arial" w:hAnsi="Arial" w:cs="Arial"/>
          <w:sz w:val="21"/>
          <w:szCs w:val="21"/>
        </w:rPr>
      </w:pPr>
    </w:p>
    <w:p w14:paraId="29E29492" w14:textId="7B1DF014" w:rsidR="008100A5" w:rsidRPr="00F15D69" w:rsidRDefault="008100A5" w:rsidP="00F15D69"/>
    <w:sectPr w:rsidR="008100A5" w:rsidRPr="00F15D69" w:rsidSect="00EF16BB">
      <w:headerReference w:type="even" r:id="rId18"/>
      <w:headerReference w:type="default" r:id="rId19"/>
      <w:footerReference w:type="even" r:id="rId20"/>
      <w:footerReference w:type="default" r:id="rId2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6A86A" w14:textId="77777777" w:rsidR="005728A1" w:rsidRDefault="005728A1">
      <w:r>
        <w:separator/>
      </w:r>
    </w:p>
  </w:endnote>
  <w:endnote w:type="continuationSeparator" w:id="0">
    <w:p w14:paraId="7FAADA56" w14:textId="77777777" w:rsidR="005728A1" w:rsidRDefault="0057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A33D6" w14:textId="77777777" w:rsidR="005728A1" w:rsidRDefault="005728A1">
      <w:r>
        <w:separator/>
      </w:r>
    </w:p>
  </w:footnote>
  <w:footnote w:type="continuationSeparator" w:id="0">
    <w:p w14:paraId="5CE8FCBC" w14:textId="77777777" w:rsidR="005728A1" w:rsidRDefault="00572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728A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AF2"/>
    <w:rsid w:val="00034038"/>
    <w:rsid w:val="0004745A"/>
    <w:rsid w:val="000547E0"/>
    <w:rsid w:val="0005666F"/>
    <w:rsid w:val="00061893"/>
    <w:rsid w:val="00071AA4"/>
    <w:rsid w:val="0008284A"/>
    <w:rsid w:val="000834E6"/>
    <w:rsid w:val="0008354F"/>
    <w:rsid w:val="000907D2"/>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B6ECD"/>
    <w:rsid w:val="002D36E1"/>
    <w:rsid w:val="002D5654"/>
    <w:rsid w:val="002E5FC0"/>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42AD"/>
    <w:rsid w:val="00A6577F"/>
    <w:rsid w:val="00A72EA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28B5"/>
    <w:rsid w:val="00B53C9B"/>
    <w:rsid w:val="00B54BA1"/>
    <w:rsid w:val="00B654F7"/>
    <w:rsid w:val="00B74931"/>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gia-nam-2012.aspx" TargetMode="External"/><Relationship Id="rId13" Type="http://schemas.openxmlformats.org/officeDocument/2006/relationships/hyperlink" Target="https://admin.luatminhkhue.vn/van-ban/nghi-dinh-149-2016-nd-cp.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admin.luatminhkhue.vn/van-ban/luat-kham-benh-chua-benh-nam-2009.aspx" TargetMode="External"/><Relationship Id="rId12" Type="http://schemas.openxmlformats.org/officeDocument/2006/relationships/hyperlink" Target="https://admin.luatminhkhue.vn/van-ban/nghi-dinh-so-177-2013-nd-cp-cua-chinh-phu---quy-dinh-chi-tiet-va-huong-dan-thi-hanh-mot-so-dieu-cua-luat-gia.aspx" TargetMode="External"/><Relationship Id="rId17" Type="http://schemas.openxmlformats.org/officeDocument/2006/relationships/hyperlink" Target="https://cdn.luatminhkhue.vn/lmk/article/2023/attachfile001(4).xls" TargetMode="External"/><Relationship Id="rId2" Type="http://schemas.openxmlformats.org/officeDocument/2006/relationships/styles" Target="styles.xml"/><Relationship Id="rId16" Type="http://schemas.openxmlformats.org/officeDocument/2006/relationships/hyperlink" Target="https://admin.luatminhkhue.vn/van-ban/nghi-dinh-so-204-2004-nd-cp-ve-che-do-tien-luong-doi-voi-can-bo-cong-chuc-vien-chuc-va-luc-luong-vu-trang.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so-16-2015-nd-cp-cua-chinh-phu---quy-dinh-co-che-tu-chu-cua-don-vi-nghiep-cong-lap.aspx" TargetMode="External"/><Relationship Id="rId5" Type="http://schemas.openxmlformats.org/officeDocument/2006/relationships/footnotes" Target="footnotes.xml"/><Relationship Id="rId15" Type="http://schemas.openxmlformats.org/officeDocument/2006/relationships/hyperlink" Target="https://admin.luatminhkhue.vn/van-ban/nghi-dinh-72-2018-nd-cp-quy-dinh-ve-muc-luong-co-so-doi-voi-can-bo--cong-chuc--vien-chuc-va-luc-luong-vu-trang.aspx" TargetMode="External"/><Relationship Id="rId23" Type="http://schemas.openxmlformats.org/officeDocument/2006/relationships/theme" Target="theme/theme1.xml"/><Relationship Id="rId10" Type="http://schemas.openxmlformats.org/officeDocument/2006/relationships/hyperlink" Target="https://admin.luatminhkhue.vn/van-ban/nghi-dinh-85-2012-nd-cp-ve-co-che-hoat-dong-tai-chinh-doi-voi-don-vi-su-nghiep-y-te-cong-lap-va-gia-dich-vu-kham-chua-benh-cua-co-so-kham-chua-benh-cong-lap.asp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dmin.luatminhkhue.vn/van-ban/luat-to-chuc-chinh-quyen-dia-phuong-nam-2015.aspx" TargetMode="External"/><Relationship Id="rId14" Type="http://schemas.openxmlformats.org/officeDocument/2006/relationships/hyperlink" Target="https://admin.luatminhkhue.vn/van-ban/nghi-dinh-75-2017-nd-cp.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15</Pages>
  <Words>4752</Words>
  <Characters>27088</Characters>
  <Application>Microsoft Office Word</Application>
  <DocSecurity>0</DocSecurity>
  <Lines>225</Lines>
  <Paragraphs>63</Paragraphs>
  <ScaleCrop>false</ScaleCrop>
  <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267</cp:revision>
  <dcterms:created xsi:type="dcterms:W3CDTF">2024-12-02T03:13:00Z</dcterms:created>
  <dcterms:modified xsi:type="dcterms:W3CDTF">2024-12-31T05:46:00Z</dcterms:modified>
</cp:coreProperties>
</file>