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F676E" w14:textId="77777777" w:rsidR="007604EB" w:rsidRPr="007604EB" w:rsidRDefault="007604EB" w:rsidP="007604EB"/>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6"/>
        <w:gridCol w:w="8154"/>
      </w:tblGrid>
      <w:tr w:rsidR="007604EB" w:rsidRPr="007604EB" w14:paraId="36946691" w14:textId="77777777" w:rsidTr="007604EB">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FCCAD" w14:textId="77777777" w:rsidR="007604EB" w:rsidRPr="007604EB" w:rsidRDefault="007604EB" w:rsidP="007604EB">
            <w:r w:rsidRPr="007604EB">
              <w:rPr>
                <w:b/>
                <w:bCs/>
              </w:rPr>
              <w:t>THỦ TƯỚNG CHÍNH PHỦ</w:t>
            </w:r>
            <w:r w:rsidRPr="007604EB">
              <w:br/>
            </w:r>
            <w:r w:rsidRPr="007604EB">
              <w:rPr>
                <w:b/>
                <w:bCs/>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BE59C" w14:textId="77777777" w:rsidR="007604EB" w:rsidRPr="007604EB" w:rsidRDefault="007604EB" w:rsidP="007604EB">
            <w:r w:rsidRPr="007604EB">
              <w:rPr>
                <w:b/>
                <w:bCs/>
              </w:rPr>
              <w:t>CỘNG HÒA XÃ HỘI CHỦ NGHĨA VIỆT NAM</w:t>
            </w:r>
            <w:r w:rsidRPr="007604EB">
              <w:rPr>
                <w:b/>
                <w:bCs/>
              </w:rPr>
              <w:br/>
              <w:t>Độc lập - Tự do - Hạnh phúc</w:t>
            </w:r>
            <w:r w:rsidRPr="007604EB">
              <w:rPr>
                <w:b/>
                <w:bCs/>
              </w:rPr>
              <w:br/>
              <w:t>---------------</w:t>
            </w:r>
          </w:p>
        </w:tc>
      </w:tr>
      <w:tr w:rsidR="007604EB" w:rsidRPr="007604EB" w14:paraId="425DFFDA" w14:textId="77777777" w:rsidTr="007604EB">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F9ACB" w14:textId="77777777" w:rsidR="007604EB" w:rsidRPr="007604EB" w:rsidRDefault="007604EB" w:rsidP="007604EB">
            <w:r w:rsidRPr="007604EB">
              <w:t>Số: 28/2014/QĐ-TTg</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260F3" w14:textId="77777777" w:rsidR="007604EB" w:rsidRPr="007604EB" w:rsidRDefault="007604EB" w:rsidP="007604EB">
            <w:r w:rsidRPr="007604EB">
              <w:rPr>
                <w:i/>
                <w:iCs/>
              </w:rPr>
              <w:t>Hà Nội, ngày 07 tháng 04 năm 2014</w:t>
            </w:r>
          </w:p>
        </w:tc>
      </w:tr>
    </w:tbl>
    <w:p w14:paraId="2B2D232A" w14:textId="77777777" w:rsidR="007604EB" w:rsidRPr="007604EB" w:rsidRDefault="007604EB" w:rsidP="007604EB"/>
    <w:p w14:paraId="7DAADB58" w14:textId="77777777" w:rsidR="007604EB" w:rsidRPr="007604EB" w:rsidRDefault="007604EB" w:rsidP="007604EB">
      <w:r w:rsidRPr="007604EB">
        <w:rPr>
          <w:b/>
          <w:bCs/>
        </w:rPr>
        <w:t>QUYẾT ĐỊNH</w:t>
      </w:r>
    </w:p>
    <w:p w14:paraId="1EADBE0D" w14:textId="77777777" w:rsidR="007604EB" w:rsidRPr="007604EB" w:rsidRDefault="007604EB" w:rsidP="007604EB">
      <w:r w:rsidRPr="007604EB">
        <w:t>QUY ĐỊNH VỀ CƠ CẤU BIỂU GIÁ BÁN LẺ ĐIỆN</w:t>
      </w:r>
    </w:p>
    <w:p w14:paraId="0A60AE9A" w14:textId="77777777" w:rsidR="007604EB" w:rsidRPr="007604EB" w:rsidRDefault="007604EB" w:rsidP="007604EB">
      <w:r w:rsidRPr="007604EB">
        <w:rPr>
          <w:i/>
          <w:iCs/>
        </w:rPr>
        <w:t>Căn cứ </w:t>
      </w:r>
      <w:hyperlink r:id="rId4" w:history="1">
        <w:r w:rsidRPr="007604EB">
          <w:rPr>
            <w:rStyle w:val="Hyperlink"/>
            <w:i/>
            <w:iCs/>
          </w:rPr>
          <w:t>Luật Tổ chức Chí</w:t>
        </w:r>
      </w:hyperlink>
      <w:hyperlink r:id="rId5" w:history="1">
        <w:r w:rsidRPr="007604EB">
          <w:rPr>
            <w:rStyle w:val="Hyperlink"/>
            <w:i/>
            <w:iCs/>
          </w:rPr>
          <w:t>nh phủ</w:t>
        </w:r>
      </w:hyperlink>
      <w:r w:rsidRPr="007604EB">
        <w:rPr>
          <w:i/>
          <w:iCs/>
        </w:rPr>
        <w:t> ngày 25 tháng 12 năm 2001;</w:t>
      </w:r>
    </w:p>
    <w:p w14:paraId="3A16EE10" w14:textId="77777777" w:rsidR="007604EB" w:rsidRPr="007604EB" w:rsidRDefault="007604EB" w:rsidP="007604EB">
      <w:r w:rsidRPr="007604EB">
        <w:rPr>
          <w:i/>
          <w:iCs/>
        </w:rPr>
        <w:t>Căn cứ</w:t>
      </w:r>
      <w:hyperlink r:id="rId6" w:history="1">
        <w:r w:rsidRPr="007604EB">
          <w:rPr>
            <w:rStyle w:val="Hyperlink"/>
            <w:i/>
            <w:iCs/>
          </w:rPr>
          <w:t> Luật Điện lực </w:t>
        </w:r>
      </w:hyperlink>
      <w:r w:rsidRPr="007604EB">
        <w:rPr>
          <w:i/>
          <w:iCs/>
        </w:rPr>
        <w:t>ngày 03 tháng 12 năm 2004; Luật sửa đổi, bổ sung một số điều của</w:t>
      </w:r>
      <w:hyperlink r:id="rId7" w:history="1">
        <w:r w:rsidRPr="007604EB">
          <w:rPr>
            <w:rStyle w:val="Hyperlink"/>
            <w:i/>
            <w:iCs/>
          </w:rPr>
          <w:t> Luật Điện lực </w:t>
        </w:r>
      </w:hyperlink>
      <w:r w:rsidRPr="007604EB">
        <w:rPr>
          <w:i/>
          <w:iCs/>
        </w:rPr>
        <w:t>ngày 20 tháng 11 năm 2012;</w:t>
      </w:r>
    </w:p>
    <w:p w14:paraId="1CB7A46C" w14:textId="77777777" w:rsidR="007604EB" w:rsidRPr="007604EB" w:rsidRDefault="007604EB" w:rsidP="007604EB">
      <w:r w:rsidRPr="007604EB">
        <w:rPr>
          <w:i/>
          <w:iCs/>
        </w:rPr>
        <w:t>Căn cứ Nghị định số</w:t>
      </w:r>
      <w:hyperlink r:id="rId8" w:history="1">
        <w:r w:rsidRPr="007604EB">
          <w:rPr>
            <w:rStyle w:val="Hyperlink"/>
            <w:i/>
            <w:iCs/>
          </w:rPr>
          <w:t> 1</w:t>
        </w:r>
      </w:hyperlink>
      <w:hyperlink r:id="rId9" w:history="1">
        <w:r w:rsidRPr="007604EB">
          <w:rPr>
            <w:rStyle w:val="Hyperlink"/>
            <w:i/>
            <w:iCs/>
          </w:rPr>
          <w:t>37/2013/NĐ-CP</w:t>
        </w:r>
      </w:hyperlink>
      <w:r w:rsidRPr="007604EB">
        <w:rPr>
          <w:i/>
          <w:iCs/>
        </w:rPr>
        <w:t> ngày 21 tháng 10 năm 2013 của Chính phủ quy định chi tiết thi hành một số điều của Luật Điện lực và Luật sửa đổi, bổ sung một số điều của Luật Điện lực;</w:t>
      </w:r>
    </w:p>
    <w:p w14:paraId="4C2B7716" w14:textId="77777777" w:rsidR="007604EB" w:rsidRPr="007604EB" w:rsidRDefault="007604EB" w:rsidP="007604EB">
      <w:r w:rsidRPr="007604EB">
        <w:rPr>
          <w:i/>
          <w:iCs/>
        </w:rPr>
        <w:t>Theo đề nghị của Bộ trưởng Bộ Công Thương,</w:t>
      </w:r>
    </w:p>
    <w:p w14:paraId="3A845525" w14:textId="77777777" w:rsidR="007604EB" w:rsidRPr="007604EB" w:rsidRDefault="007604EB" w:rsidP="007604EB">
      <w:r w:rsidRPr="007604EB">
        <w:rPr>
          <w:i/>
          <w:iCs/>
        </w:rPr>
        <w:t>Thủ tướng Chính phủ ban hành Quyết định quy định về cơ cấu biểu giá bán lẻ điện.</w:t>
      </w:r>
    </w:p>
    <w:p w14:paraId="01C3313B" w14:textId="77777777" w:rsidR="007604EB" w:rsidRPr="007604EB" w:rsidRDefault="007604EB" w:rsidP="007604EB">
      <w:r w:rsidRPr="007604EB">
        <w:rPr>
          <w:b/>
          <w:bCs/>
        </w:rPr>
        <w:t>Điều 1. Phạm vi điều chỉnh và đối tượng áp dụng</w:t>
      </w:r>
    </w:p>
    <w:p w14:paraId="38444E2B" w14:textId="77777777" w:rsidR="007604EB" w:rsidRPr="007604EB" w:rsidRDefault="007604EB" w:rsidP="007604EB">
      <w:r w:rsidRPr="007604EB">
        <w:t>1. Quyết định này quy định về cơ cấu biểu giá bán lẻ điện.</w:t>
      </w:r>
    </w:p>
    <w:p w14:paraId="2F77A822" w14:textId="77777777" w:rsidR="007604EB" w:rsidRPr="007604EB" w:rsidRDefault="007604EB" w:rsidP="007604EB">
      <w:r w:rsidRPr="007604EB">
        <w:t>2. Quyết định này áp dụng đối với Tập đoàn Điện lực Việt Nam; Tổng công ty điện lực thuộc Tập đoàn Điện lực Việt Nam; đơn vị bán lẻ điện mua điện từ Tổng công ty điện lực thuộc Tập đoàn Điện lực Việt Nam; đơn vị bán lẻ điện tại nông thôn, miền núi, biên giới, hải đảo khu vực chưa nối lưới điện quốc gia; tổ chức, cá nhân sử dụng điện.</w:t>
      </w:r>
    </w:p>
    <w:p w14:paraId="1C79E909" w14:textId="77777777" w:rsidR="007604EB" w:rsidRPr="007604EB" w:rsidRDefault="007604EB" w:rsidP="007604EB">
      <w:r w:rsidRPr="007604EB">
        <w:rPr>
          <w:b/>
          <w:bCs/>
        </w:rPr>
        <w:t>Điều 2. Giải thích từ ngữ</w:t>
      </w:r>
    </w:p>
    <w:p w14:paraId="0BEDB917" w14:textId="77777777" w:rsidR="007604EB" w:rsidRPr="007604EB" w:rsidRDefault="007604EB" w:rsidP="007604EB">
      <w:r w:rsidRPr="007604EB">
        <w:t>Trong Quyết định này, thuật ngữ dưới đây được hiểu như sau:</w:t>
      </w:r>
    </w:p>
    <w:p w14:paraId="39E27163" w14:textId="77777777" w:rsidR="007604EB" w:rsidRPr="007604EB" w:rsidRDefault="007604EB" w:rsidP="007604EB">
      <w:r w:rsidRPr="007604EB">
        <w:t>Cơ cấu biểu giá bán lẻ điện là bảng kê tỷ lệ phần trăm (%) của mức giá bán lẻ điện bình quân để tính giá bán lẻ điện cụ thể cho từng nhóm khách hàng sử dụng điện.</w:t>
      </w:r>
    </w:p>
    <w:p w14:paraId="3F24A820" w14:textId="77777777" w:rsidR="007604EB" w:rsidRPr="007604EB" w:rsidRDefault="007604EB" w:rsidP="007604EB">
      <w:r w:rsidRPr="007604EB">
        <w:rPr>
          <w:b/>
          <w:bCs/>
        </w:rPr>
        <w:t>Điều 3. Nguyên tắc xây dựng cơ cấu biểu giá</w:t>
      </w:r>
    </w:p>
    <w:p w14:paraId="7C52A033" w14:textId="77777777" w:rsidR="007604EB" w:rsidRPr="007604EB" w:rsidRDefault="007604EB" w:rsidP="007604EB">
      <w:r w:rsidRPr="007604EB">
        <w:t>1. Giá bán lẻ điện được quy định chi tiết cho từng nhóm khách hàng sử dụng điện, bao gồm: sản xuất, kinh doanh, hành chính sự nghiệp, sinh hoạt.</w:t>
      </w:r>
    </w:p>
    <w:p w14:paraId="08D8B6CC" w14:textId="77777777" w:rsidR="007604EB" w:rsidRPr="007604EB" w:rsidRDefault="007604EB" w:rsidP="007604EB">
      <w:r w:rsidRPr="007604EB">
        <w:t>2. Giá bán lẻ điện theo các cấp điện áp (từ 110kV trở lên, từ 22kV đến dưới 110kV, từ 6kV đến dưới 22kV và dưới 6kV) áp dụng cho các nhóm khách hàng sản xuất, kinh doanh, hành chính sự nghiệp.</w:t>
      </w:r>
    </w:p>
    <w:p w14:paraId="7CE963BB" w14:textId="77777777" w:rsidR="007604EB" w:rsidRPr="007604EB" w:rsidRDefault="007604EB" w:rsidP="007604EB">
      <w:r w:rsidRPr="007604EB">
        <w:t>3. Giá bán lẻ điện theo thời gian sử dụng điện trong ngày cho mục đích sản xuất, kinh doanh tại các cấp điện áp được áp dụng đối với khách hàng sử dụng điện đủ điều kiện.</w:t>
      </w:r>
    </w:p>
    <w:p w14:paraId="20A402E8" w14:textId="77777777" w:rsidR="007604EB" w:rsidRPr="007604EB" w:rsidRDefault="007604EB" w:rsidP="007604EB">
      <w:r w:rsidRPr="007604EB">
        <w:lastRenderedPageBreak/>
        <w:t>4. Giá bán lẻ điện cho nhóm khách hàng sử dụng điện sinh hoạt gồm 6 bậc có mức giá tăng dần nhằm khuyến khích sử dụng điện tiết kiệm, hiệu quả.</w:t>
      </w:r>
    </w:p>
    <w:p w14:paraId="4F104F6E" w14:textId="77777777" w:rsidR="007604EB" w:rsidRPr="007604EB" w:rsidRDefault="007604EB" w:rsidP="007604EB">
      <w:r w:rsidRPr="007604EB">
        <w:t>5. Giá bán lẻ điện sinh hoạt dùng công tơ thẻ trả trước được áp dụng khi điều kiện kỹ thuật cho phép đối với nhóm khách hàng mua điện tạm thời và mua điện ngắn hạn sử dụng điện cho mục đích sinh hoạt.</w:t>
      </w:r>
    </w:p>
    <w:p w14:paraId="3FC3FDF0" w14:textId="77777777" w:rsidR="007604EB" w:rsidRPr="007604EB" w:rsidRDefault="007604EB" w:rsidP="007604EB">
      <w:r w:rsidRPr="007604EB">
        <w:t>6. Hộ nghèo theo tiêu chí do Thủ tướng Chính phủ quy định được hỗ trợ tiền điện cho mục đích sinh hoạt, mức hỗ trợ hàng tháng tương đương tiền điện sử dụng 30 kWh tính theo mức giá bán lẻ điện sinh hoạt bậc 1 hiện hành.</w:t>
      </w:r>
    </w:p>
    <w:p w14:paraId="5CF1A4E5" w14:textId="77777777" w:rsidR="007604EB" w:rsidRPr="007604EB" w:rsidRDefault="007604EB" w:rsidP="007604EB">
      <w:r w:rsidRPr="007604EB">
        <w:t>7. Hộ chính sách xã hội theo tiêu chí do Thủ tướng Chính phủ quy định (không thuộc diện hộ nghèo được hỗ trợ tiền điện theo quy định tại khoản 6 Điều này) và có lượng điện sử dụng cho mục đích sinh hoạt trong tháng không quá 50 kWh được hỗ trợ tiền điện tương đương tiền điện sử dụng 30 kWh tính theo mức giá bán lẻ điện sinh hoạt bậc 1 hiện hành.</w:t>
      </w:r>
    </w:p>
    <w:p w14:paraId="3D4FD4AF" w14:textId="77777777" w:rsidR="007604EB" w:rsidRPr="007604EB" w:rsidRDefault="007604EB" w:rsidP="007604EB">
      <w:r w:rsidRPr="007604EB">
        <w:t>8. Kinh phí hỗ trợ tiền điện cho các hộ nghèo và hộ chính sách xã hội được trích từ nguồn ngân sách Nhà nước.</w:t>
      </w:r>
    </w:p>
    <w:p w14:paraId="3A9F2234" w14:textId="77777777" w:rsidR="007604EB" w:rsidRPr="007604EB" w:rsidRDefault="007604EB" w:rsidP="007604EB">
      <w:r w:rsidRPr="007604EB">
        <w:t>9. Áp dụng giá bán điện khu vực nối lưới điện quốc gia cho khách hàng sử dụng điện ở nông thôn, miền núi, biên giới, hải đảo khu vực chưa nối lưới điện quốc gia.</w:t>
      </w:r>
    </w:p>
    <w:p w14:paraId="05EFFC90" w14:textId="77777777" w:rsidR="007604EB" w:rsidRPr="007604EB" w:rsidRDefault="007604EB" w:rsidP="007604EB">
      <w:r w:rsidRPr="007604EB">
        <w:t>Chênh lệch chi phí của đơn vị điện lực do áp dụng giá bán điện thống nhất toàn quốc thấp hơn giá thành sản xuất kinh doanh điện được tính vào giá điện chung toàn quốc đối với các khu vực do Tập đoàn Điện lực Việt Nam bán điện; đối với khu vực không do Tập đoàn Điện lực Việt Nam bán điện, chênh lệch chi phí được thực hiện theo quy định của Thủ tướng Chính phủ.</w:t>
      </w:r>
    </w:p>
    <w:p w14:paraId="62B8C15B" w14:textId="77777777" w:rsidR="007604EB" w:rsidRPr="007604EB" w:rsidRDefault="007604EB" w:rsidP="007604EB">
      <w:r w:rsidRPr="007604EB">
        <w:rPr>
          <w:b/>
          <w:bCs/>
        </w:rPr>
        <w:t>Điều 4. Cơ cấu biểu giá bán lẻ điện</w:t>
      </w:r>
    </w:p>
    <w:p w14:paraId="64DE9DDE" w14:textId="77777777" w:rsidR="007604EB" w:rsidRPr="007604EB" w:rsidRDefault="007604EB" w:rsidP="007604EB">
      <w:r w:rsidRPr="007604EB">
        <w:t>1. Tỷ lệ phần trăm (%) giá bán lẻ điện cho các nhóm khách hàng sử dụng điện so với mức giá bán lẻ điện bình quân được quy định chi tiết tại Phụ lục ban hành kèm theo Quyết định này.</w:t>
      </w:r>
    </w:p>
    <w:p w14:paraId="4B5B375F" w14:textId="77777777" w:rsidR="007604EB" w:rsidRPr="007604EB" w:rsidRDefault="007604EB" w:rsidP="007604EB">
      <w:r w:rsidRPr="007604EB">
        <w:t>2. Trường hợp cơ cấu tiêu thụ điện thay đổi, căn cứ mức giá bán lẻ điện bình quân được điều chỉnh theo thẩm quyền, giá bán lẻ điện cho các nhóm khách hàng sử dụng điện được phép điều chỉnh trong phạm vi ± 2% so với tỷ lệ được quy định tại Phụ lục ban hành kèm theo Quyết định này.</w:t>
      </w:r>
    </w:p>
    <w:p w14:paraId="05681CAB" w14:textId="77777777" w:rsidR="007604EB" w:rsidRPr="007604EB" w:rsidRDefault="007604EB" w:rsidP="007604EB">
      <w:r w:rsidRPr="007604EB">
        <w:t>3. Giá bán lẻ điện cho các nhóm khách hàng sử dụng điện được xác định căn cứ mức giá bán lẻ điện bình quân được điều chỉnh theo thẩm quyền và cơ cấu biểu giá bán lẻ điện được quy định tại khoản 1 và khoản 2 Điều này.</w:t>
      </w:r>
    </w:p>
    <w:p w14:paraId="062087D8" w14:textId="77777777" w:rsidR="007604EB" w:rsidRPr="007604EB" w:rsidRDefault="007604EB" w:rsidP="007604EB">
      <w:r w:rsidRPr="007604EB">
        <w:rPr>
          <w:b/>
          <w:bCs/>
        </w:rPr>
        <w:t>Điều 5. Tổ chức thực hiện</w:t>
      </w:r>
    </w:p>
    <w:p w14:paraId="29081408" w14:textId="77777777" w:rsidR="007604EB" w:rsidRPr="007604EB" w:rsidRDefault="007604EB" w:rsidP="007604EB">
      <w:r w:rsidRPr="007604EB">
        <w:t>1. Bộ Công Thương có trách nhiệm:</w:t>
      </w:r>
    </w:p>
    <w:p w14:paraId="35F530FA" w14:textId="77777777" w:rsidR="007604EB" w:rsidRPr="007604EB" w:rsidRDefault="007604EB" w:rsidP="007604EB">
      <w:r w:rsidRPr="007604EB">
        <w:t>a) Quy định và hướng dẫn thực hiện giá bán lẻ điện cho các nhóm khách hàng sử dụng điện; giá bán điện cho các đơn vị bán lẻ điện;</w:t>
      </w:r>
    </w:p>
    <w:p w14:paraId="1A64B7E5" w14:textId="77777777" w:rsidR="007604EB" w:rsidRPr="007604EB" w:rsidRDefault="007604EB" w:rsidP="007604EB">
      <w:r w:rsidRPr="007604EB">
        <w:t>b) Nghiên cứu xây dựng, trình Thủ tướng Chính phủ xem xét, phê duyệt:</w:t>
      </w:r>
    </w:p>
    <w:p w14:paraId="24EF9433" w14:textId="77777777" w:rsidR="007604EB" w:rsidRPr="007604EB" w:rsidRDefault="007604EB" w:rsidP="007604EB">
      <w:r w:rsidRPr="007604EB">
        <w:t>- Cơ chế giá bán điện hai thành phần gồm giá công suất và giá điện năng cho các nhóm khách hàng khi điều kiện kỹ thuật cho phép;</w:t>
      </w:r>
    </w:p>
    <w:p w14:paraId="1615315C" w14:textId="77777777" w:rsidR="007604EB" w:rsidRPr="007604EB" w:rsidRDefault="007604EB" w:rsidP="007604EB">
      <w:r w:rsidRPr="007604EB">
        <w:lastRenderedPageBreak/>
        <w:t>- Cơ chế giá điện khuyến khích để áp dụng thí điểm cho khách hàng tham gia vào chương trình quản lý nhu cầu điện.</w:t>
      </w:r>
    </w:p>
    <w:p w14:paraId="46135F2D" w14:textId="77777777" w:rsidR="007604EB" w:rsidRPr="007604EB" w:rsidRDefault="007604EB" w:rsidP="007604EB">
      <w:r w:rsidRPr="007604EB">
        <w:t>2. Bộ Lao động - Thương binh và Xã hội có trách nhiệm chủ trì, phối hợp với Bộ Tài chính, Bộ Công Thương và các cơ quan liên quan xây dựng tiêu chí hộ chính sách xã hội được hưởng hỗ trợ theo quy định tại khoản 7 Điều 3 Quyết định này trình Thủ tướng Chính phủ xem xét, quyết định chậm nhất là 3 tháng kể từ ngày Quyết định này được ban hành.</w:t>
      </w:r>
    </w:p>
    <w:p w14:paraId="7037297F" w14:textId="77777777" w:rsidR="007604EB" w:rsidRPr="007604EB" w:rsidRDefault="007604EB" w:rsidP="007604EB">
      <w:r w:rsidRPr="007604EB">
        <w:t>3. Bộ Tài chính có trách nhiệm:</w:t>
      </w:r>
    </w:p>
    <w:p w14:paraId="0F3FD969" w14:textId="77777777" w:rsidR="007604EB" w:rsidRPr="007604EB" w:rsidRDefault="007604EB" w:rsidP="007604EB">
      <w:r w:rsidRPr="007604EB">
        <w:t>a) Chủ trì, phối hợp với Bộ Công Thương, Bộ Lao động - Thương binh và Xã hội tính toán tiền hỗ trợ hàng năm cho các hộ nghèo và hộ chính sách xã hội theo quy định tại khoản 6, khoản 7 và khoản 8 Điều 3 Quyết định này, trình Thủ tướng Chính phủ xem xét, quyết định;</w:t>
      </w:r>
    </w:p>
    <w:p w14:paraId="1F8456C1" w14:textId="77777777" w:rsidR="007604EB" w:rsidRPr="007604EB" w:rsidRDefault="007604EB" w:rsidP="007604EB">
      <w:r w:rsidRPr="007604EB">
        <w:t>b) Chủ trì, phối hợp với Bộ Lao động - Thương binh và Xã hội, Bộ Công Thương hướng dẫn thực hiện, kiểm tra, giám sát việc hỗ trợ tiền điện cho hộ nghèo và hộ chính sách xã hội.</w:t>
      </w:r>
    </w:p>
    <w:p w14:paraId="3300FA23" w14:textId="77777777" w:rsidR="007604EB" w:rsidRPr="007604EB" w:rsidRDefault="007604EB" w:rsidP="007604EB">
      <w:r w:rsidRPr="007604EB">
        <w:t>4. Ủy ban nhân dân tỉnh, thành phố trực thuộc Trung ương có trách nhiệm tổ chức thực hiện hỗ trợ tiền điện cho hộ nghèo và hộ chính sách xã hội.</w:t>
      </w:r>
    </w:p>
    <w:p w14:paraId="4788EA41" w14:textId="77777777" w:rsidR="007604EB" w:rsidRPr="007604EB" w:rsidRDefault="007604EB" w:rsidP="007604EB">
      <w:r w:rsidRPr="007604EB">
        <w:rPr>
          <w:b/>
          <w:bCs/>
        </w:rPr>
        <w:t>Điều 6. Hiệu lực thi hành</w:t>
      </w:r>
    </w:p>
    <w:p w14:paraId="6A8F9BC6" w14:textId="77777777" w:rsidR="007604EB" w:rsidRPr="007604EB" w:rsidRDefault="007604EB" w:rsidP="007604EB">
      <w:r w:rsidRPr="007604EB">
        <w:t>1. Quyết định này có hiệu lực thi hành kể từ ngày 01 tháng 6 năm 2014. Quyết định số 268/QĐ-TTg ngày 23 tháng 02 năm 2011 của Thủ tướng Chính phủ về Biểu giá bán lẻ điện hết hiệu lực thi hành từ ngày Quyết định này có hiệu lực.</w:t>
      </w:r>
    </w:p>
    <w:p w14:paraId="2257E4CE" w14:textId="77777777" w:rsidR="007604EB" w:rsidRPr="007604EB" w:rsidRDefault="007604EB" w:rsidP="007604EB">
      <w:r w:rsidRPr="007604EB">
        <w:t>2. Bộ trưởng, Thủ trưởng cơ quan ngang Bộ, Thủ trưởng cơ quan thuộc Chính phủ, Chủ tịch Ủy ban nhân dân tỉnh, thành phố trực thuộc Trung ương, Tập đoàn Điện lực Việt Nam và các đơn vị liên quan chịu trách nhiệm thi hành Quyết định này./.</w:t>
      </w:r>
    </w:p>
    <w:p w14:paraId="20F17F91" w14:textId="77777777" w:rsidR="007604EB" w:rsidRPr="007604EB" w:rsidRDefault="007604EB" w:rsidP="007604EB"/>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7604EB" w:rsidRPr="007604EB" w14:paraId="5154492D" w14:textId="77777777" w:rsidTr="007604EB">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79126" w14:textId="77777777" w:rsidR="007604EB" w:rsidRPr="007604EB" w:rsidRDefault="007604EB" w:rsidP="007604EB"/>
          <w:p w14:paraId="7C4856D6" w14:textId="77777777" w:rsidR="007604EB" w:rsidRPr="007604EB" w:rsidRDefault="007604EB" w:rsidP="007604EB">
            <w:r w:rsidRPr="007604EB">
              <w:rPr>
                <w:b/>
                <w:bCs/>
                <w:i/>
                <w:iCs/>
              </w:rPr>
              <w:t>Nơi nhận:</w:t>
            </w:r>
            <w:r w:rsidRPr="007604EB">
              <w:br/>
              <w:t>- Ban Bí thư Trung ương Đảng;</w:t>
            </w:r>
            <w:r w:rsidRPr="007604EB">
              <w:br/>
              <w:t>- Thủ tướng, các Phó Thủ tướng Chính phủ;</w:t>
            </w:r>
            <w:r w:rsidRPr="007604EB">
              <w:br/>
              <w:t>- Các Bộ, cơ quan ngang Bộ, cơ quan thuộc CP;</w:t>
            </w:r>
            <w:r w:rsidRPr="007604EB">
              <w:br/>
              <w:t>- HĐND, UBND các tỉnh, TP trực thuộc TW;</w:t>
            </w:r>
            <w:r w:rsidRPr="007604EB">
              <w:br/>
              <w:t>- Văn phòng Trung ương và các Ban của Đảng;</w:t>
            </w:r>
            <w:r w:rsidRPr="007604EB">
              <w:br/>
              <w:t>- Văn phòng Tổng Bí thư;</w:t>
            </w:r>
            <w:r w:rsidRPr="007604EB">
              <w:br/>
              <w:t>- Văn phòng Chủ tịch nước;</w:t>
            </w:r>
            <w:r w:rsidRPr="007604EB">
              <w:br/>
              <w:t>- Hội đồng Dân tộc và các Ủy ban của Quốc hội;</w:t>
            </w:r>
            <w:r w:rsidRPr="007604EB">
              <w:br/>
              <w:t>- Văn phòng Quốc hội;</w:t>
            </w:r>
            <w:r w:rsidRPr="007604EB">
              <w:br/>
              <w:t>- Tòa án nhân dân tối cao;</w:t>
            </w:r>
            <w:r w:rsidRPr="007604EB">
              <w:br/>
              <w:t>- Viện Kiểm sát nhân dân tối cao;</w:t>
            </w:r>
            <w:r w:rsidRPr="007604EB">
              <w:br/>
              <w:t>- Kiểm toán Nhà nước;</w:t>
            </w:r>
            <w:r w:rsidRPr="007604EB">
              <w:br/>
              <w:t>- Ủy ban Giám sát tài chính Quốc gia;</w:t>
            </w:r>
            <w:r w:rsidRPr="007604EB">
              <w:br/>
              <w:t>- Ngân hàng Chính sách Xã hội;</w:t>
            </w:r>
            <w:r w:rsidRPr="007604EB">
              <w:br/>
            </w:r>
            <w:r w:rsidRPr="007604EB">
              <w:lastRenderedPageBreak/>
              <w:t>- Ngân hàng Phát triển Việt Nam;</w:t>
            </w:r>
            <w:r w:rsidRPr="007604EB">
              <w:br/>
              <w:t>- UBTW Mặt trận Tổ quốc Việt Nam;</w:t>
            </w:r>
            <w:r w:rsidRPr="007604EB">
              <w:br/>
              <w:t>- Cơ quan Trung ương của các đoàn thể;</w:t>
            </w:r>
            <w:r w:rsidRPr="007604EB">
              <w:br/>
              <w:t>- Tập đoàn Điện lực Việt Nam;</w:t>
            </w:r>
            <w:r w:rsidRPr="007604EB">
              <w:br/>
              <w:t>- VPCP: BTCN, các PCN, Trợ lý TTCP, TGĐ Cổng TTĐT, các Vụ, Cục, đơn vị trực thuộc, Công báo;</w:t>
            </w:r>
            <w:r w:rsidRPr="007604EB">
              <w:br/>
              <w:t>- Lưu: VT, KTTH (3b).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84FA4" w14:textId="77777777" w:rsidR="007604EB" w:rsidRPr="007604EB" w:rsidRDefault="007604EB" w:rsidP="007604EB">
            <w:r w:rsidRPr="007604EB">
              <w:rPr>
                <w:b/>
                <w:bCs/>
              </w:rPr>
              <w:lastRenderedPageBreak/>
              <w:t>THỦ TƯỚNG</w:t>
            </w:r>
            <w:r w:rsidRPr="007604EB">
              <w:rPr>
                <w:b/>
                <w:bCs/>
              </w:rPr>
              <w:br/>
            </w:r>
            <w:r w:rsidRPr="007604EB">
              <w:rPr>
                <w:b/>
                <w:bCs/>
              </w:rPr>
              <w:br/>
            </w:r>
            <w:r w:rsidRPr="007604EB">
              <w:rPr>
                <w:b/>
                <w:bCs/>
              </w:rPr>
              <w:br/>
            </w:r>
            <w:r w:rsidRPr="007604EB">
              <w:rPr>
                <w:b/>
                <w:bCs/>
              </w:rPr>
              <w:br/>
            </w:r>
            <w:r w:rsidRPr="007604EB">
              <w:rPr>
                <w:b/>
                <w:bCs/>
              </w:rPr>
              <w:br/>
              <w:t>Nguyễn Tấn Dũng</w:t>
            </w:r>
          </w:p>
        </w:tc>
      </w:tr>
    </w:tbl>
    <w:p w14:paraId="29883444" w14:textId="77777777" w:rsidR="007604EB" w:rsidRPr="007604EB" w:rsidRDefault="007604EB" w:rsidP="007604EB"/>
    <w:p w14:paraId="6949E446" w14:textId="77777777" w:rsidR="007604EB" w:rsidRPr="007604EB" w:rsidRDefault="007604EB" w:rsidP="007604EB">
      <w:r w:rsidRPr="007604EB">
        <w:rPr>
          <w:b/>
          <w:bCs/>
        </w:rPr>
        <w:t>PHỤ LỤC</w:t>
      </w:r>
    </w:p>
    <w:p w14:paraId="52C74DE2" w14:textId="77777777" w:rsidR="007604EB" w:rsidRPr="007604EB" w:rsidRDefault="007604EB" w:rsidP="007604EB">
      <w:r w:rsidRPr="007604EB">
        <w:t>CƠ CẤU BIỂU GIÁ BÁN LẺ ĐIỆN</w:t>
      </w:r>
      <w:r w:rsidRPr="007604EB">
        <w:br/>
      </w:r>
      <w:r w:rsidRPr="007604EB">
        <w:rPr>
          <w:i/>
          <w:iCs/>
        </w:rPr>
        <w:t>(Ban hành kèm theo Quyết định số 28/2014/QĐ-TTg ngày 07 tháng 4 năm 2014 của Thủ tướng Chính phủ)</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6"/>
        <w:gridCol w:w="8967"/>
        <w:gridCol w:w="3177"/>
      </w:tblGrid>
      <w:tr w:rsidR="007604EB" w:rsidRPr="007604EB" w14:paraId="50BC1181"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3CBFD" w14:textId="77777777" w:rsidR="007604EB" w:rsidRPr="007604EB" w:rsidRDefault="007604EB" w:rsidP="007604EB">
            <w:r w:rsidRPr="007604EB">
              <w:rPr>
                <w:b/>
                <w:bCs/>
              </w:rPr>
              <w:t>TT</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5908A" w14:textId="77777777" w:rsidR="007604EB" w:rsidRPr="007604EB" w:rsidRDefault="007604EB" w:rsidP="007604EB">
            <w:r w:rsidRPr="007604EB">
              <w:rPr>
                <w:b/>
                <w:bCs/>
              </w:rPr>
              <w:t>Nhóm đối tượng khách hàng</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6B9A0" w14:textId="77777777" w:rsidR="007604EB" w:rsidRPr="007604EB" w:rsidRDefault="007604EB" w:rsidP="007604EB">
            <w:r w:rsidRPr="007604EB">
              <w:rPr>
                <w:b/>
                <w:bCs/>
              </w:rPr>
              <w:t>Tỷ lệ so với mức giá bán lẻ điện bình quân được điều chỉnh theo thẩm quyền (%)</w:t>
            </w:r>
          </w:p>
        </w:tc>
      </w:tr>
      <w:tr w:rsidR="007604EB" w:rsidRPr="007604EB" w14:paraId="6772E96A"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86EA8" w14:textId="77777777" w:rsidR="007604EB" w:rsidRPr="007604EB" w:rsidRDefault="007604EB" w:rsidP="007604EB">
            <w:r w:rsidRPr="007604EB">
              <w:rPr>
                <w:b/>
                <w:bCs/>
              </w:rPr>
              <w:t>1</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A1958" w14:textId="77777777" w:rsidR="007604EB" w:rsidRPr="007604EB" w:rsidRDefault="007604EB" w:rsidP="007604EB">
            <w:r w:rsidRPr="007604EB">
              <w:rPr>
                <w:b/>
                <w:bCs/>
              </w:rPr>
              <w:t>Giá bán lẻ điện cho các ngành sản xuất</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B178A" w14:textId="77777777" w:rsidR="007604EB" w:rsidRPr="007604EB" w:rsidRDefault="007604EB" w:rsidP="007604EB"/>
        </w:tc>
      </w:tr>
      <w:tr w:rsidR="007604EB" w:rsidRPr="007604EB" w14:paraId="3C1A24B8"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17102" w14:textId="77777777" w:rsidR="007604EB" w:rsidRPr="007604EB" w:rsidRDefault="007604EB" w:rsidP="007604EB">
            <w:r w:rsidRPr="007604EB">
              <w:rPr>
                <w:b/>
                <w:bCs/>
              </w:rPr>
              <w:t>1.1</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929FA" w14:textId="77777777" w:rsidR="007604EB" w:rsidRPr="007604EB" w:rsidRDefault="007604EB" w:rsidP="007604EB">
            <w:r w:rsidRPr="007604EB">
              <w:rPr>
                <w:b/>
                <w:bCs/>
              </w:rPr>
              <w:t>Cấp điện áp từ 110 kV trở lên</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C23E6" w14:textId="77777777" w:rsidR="007604EB" w:rsidRPr="007604EB" w:rsidRDefault="007604EB" w:rsidP="007604EB"/>
        </w:tc>
      </w:tr>
      <w:tr w:rsidR="007604EB" w:rsidRPr="007604EB" w14:paraId="2EE01DD7"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F6B8D"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DEFB7" w14:textId="77777777" w:rsidR="007604EB" w:rsidRPr="007604EB" w:rsidRDefault="007604EB" w:rsidP="007604EB">
            <w:r w:rsidRPr="007604EB">
              <w:t>a) Giờ bình thường</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2241C" w14:textId="77777777" w:rsidR="007604EB" w:rsidRPr="007604EB" w:rsidRDefault="007604EB" w:rsidP="007604EB">
            <w:r w:rsidRPr="007604EB">
              <w:t>84%</w:t>
            </w:r>
          </w:p>
        </w:tc>
      </w:tr>
      <w:tr w:rsidR="007604EB" w:rsidRPr="007604EB" w14:paraId="1BD74073"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58883"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2E767" w14:textId="77777777" w:rsidR="007604EB" w:rsidRPr="007604EB" w:rsidRDefault="007604EB" w:rsidP="007604EB">
            <w:r w:rsidRPr="007604EB">
              <w:t>b) Giờ thấp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41DC8" w14:textId="77777777" w:rsidR="007604EB" w:rsidRPr="007604EB" w:rsidRDefault="007604EB" w:rsidP="007604EB">
            <w:r w:rsidRPr="007604EB">
              <w:t>52%</w:t>
            </w:r>
          </w:p>
        </w:tc>
      </w:tr>
      <w:tr w:rsidR="007604EB" w:rsidRPr="007604EB" w14:paraId="7455D141"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03780"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DE271" w14:textId="77777777" w:rsidR="007604EB" w:rsidRPr="007604EB" w:rsidRDefault="007604EB" w:rsidP="007604EB">
            <w:r w:rsidRPr="007604EB">
              <w:t>c) Giờ cao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50B0D" w14:textId="77777777" w:rsidR="007604EB" w:rsidRPr="007604EB" w:rsidRDefault="007604EB" w:rsidP="007604EB">
            <w:r w:rsidRPr="007604EB">
              <w:t>150%</w:t>
            </w:r>
          </w:p>
        </w:tc>
      </w:tr>
      <w:tr w:rsidR="007604EB" w:rsidRPr="007604EB" w14:paraId="2D93333D"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99B28" w14:textId="77777777" w:rsidR="007604EB" w:rsidRPr="007604EB" w:rsidRDefault="007604EB" w:rsidP="007604EB">
            <w:r w:rsidRPr="007604EB">
              <w:rPr>
                <w:b/>
                <w:bCs/>
              </w:rPr>
              <w:t>1.2</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20C6" w14:textId="77777777" w:rsidR="007604EB" w:rsidRPr="007604EB" w:rsidRDefault="007604EB" w:rsidP="007604EB">
            <w:r w:rsidRPr="007604EB">
              <w:rPr>
                <w:b/>
                <w:bCs/>
              </w:rPr>
              <w:t>Cấp điện áp từ 22 kV đến dưới 110 kV</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04491" w14:textId="77777777" w:rsidR="007604EB" w:rsidRPr="007604EB" w:rsidRDefault="007604EB" w:rsidP="007604EB"/>
        </w:tc>
      </w:tr>
      <w:tr w:rsidR="007604EB" w:rsidRPr="007604EB" w14:paraId="6FD0C8AB"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1665C"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07791" w14:textId="77777777" w:rsidR="007604EB" w:rsidRPr="007604EB" w:rsidRDefault="007604EB" w:rsidP="007604EB">
            <w:r w:rsidRPr="007604EB">
              <w:t>a) Giờ bình thường</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7CC99" w14:textId="77777777" w:rsidR="007604EB" w:rsidRPr="007604EB" w:rsidRDefault="007604EB" w:rsidP="007604EB">
            <w:r w:rsidRPr="007604EB">
              <w:t>85%</w:t>
            </w:r>
          </w:p>
        </w:tc>
      </w:tr>
      <w:tr w:rsidR="007604EB" w:rsidRPr="007604EB" w14:paraId="68D88107"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F4614"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02DC7" w14:textId="77777777" w:rsidR="007604EB" w:rsidRPr="007604EB" w:rsidRDefault="007604EB" w:rsidP="007604EB">
            <w:r w:rsidRPr="007604EB">
              <w:t>b) Giờ thấp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91432" w14:textId="77777777" w:rsidR="007604EB" w:rsidRPr="007604EB" w:rsidRDefault="007604EB" w:rsidP="007604EB">
            <w:r w:rsidRPr="007604EB">
              <w:t>54%</w:t>
            </w:r>
          </w:p>
        </w:tc>
      </w:tr>
      <w:tr w:rsidR="007604EB" w:rsidRPr="007604EB" w14:paraId="266135AD"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AD297"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DDE05" w14:textId="77777777" w:rsidR="007604EB" w:rsidRPr="007604EB" w:rsidRDefault="007604EB" w:rsidP="007604EB">
            <w:r w:rsidRPr="007604EB">
              <w:t>c) Giờ cao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B46A0" w14:textId="77777777" w:rsidR="007604EB" w:rsidRPr="007604EB" w:rsidRDefault="007604EB" w:rsidP="007604EB">
            <w:r w:rsidRPr="007604EB">
              <w:t>156%</w:t>
            </w:r>
          </w:p>
        </w:tc>
      </w:tr>
      <w:tr w:rsidR="007604EB" w:rsidRPr="007604EB" w14:paraId="3A9E71B5"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5079C" w14:textId="77777777" w:rsidR="007604EB" w:rsidRPr="007604EB" w:rsidRDefault="007604EB" w:rsidP="007604EB">
            <w:r w:rsidRPr="007604EB">
              <w:rPr>
                <w:b/>
                <w:bCs/>
              </w:rPr>
              <w:t>1.3</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1DCBE" w14:textId="77777777" w:rsidR="007604EB" w:rsidRPr="007604EB" w:rsidRDefault="007604EB" w:rsidP="007604EB">
            <w:r w:rsidRPr="007604EB">
              <w:rPr>
                <w:b/>
                <w:bCs/>
              </w:rPr>
              <w:t>Cấp điện áp từ 6 kV đến dưới 22 kV</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E1C3E" w14:textId="77777777" w:rsidR="007604EB" w:rsidRPr="007604EB" w:rsidRDefault="007604EB" w:rsidP="007604EB"/>
        </w:tc>
      </w:tr>
      <w:tr w:rsidR="007604EB" w:rsidRPr="007604EB" w14:paraId="25A57492"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CF7E8"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F603D" w14:textId="77777777" w:rsidR="007604EB" w:rsidRPr="007604EB" w:rsidRDefault="007604EB" w:rsidP="007604EB">
            <w:r w:rsidRPr="007604EB">
              <w:t>a) Giờ bình thường</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BDFCB" w14:textId="77777777" w:rsidR="007604EB" w:rsidRPr="007604EB" w:rsidRDefault="007604EB" w:rsidP="007604EB">
            <w:r w:rsidRPr="007604EB">
              <w:t>88%</w:t>
            </w:r>
          </w:p>
        </w:tc>
      </w:tr>
      <w:tr w:rsidR="007604EB" w:rsidRPr="007604EB" w14:paraId="039F612B"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5C866"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5D635" w14:textId="77777777" w:rsidR="007604EB" w:rsidRPr="007604EB" w:rsidRDefault="007604EB" w:rsidP="007604EB">
            <w:r w:rsidRPr="007604EB">
              <w:t>b) Giờ thấp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79155" w14:textId="77777777" w:rsidR="007604EB" w:rsidRPr="007604EB" w:rsidRDefault="007604EB" w:rsidP="007604EB">
            <w:r w:rsidRPr="007604EB">
              <w:t>56%</w:t>
            </w:r>
          </w:p>
        </w:tc>
      </w:tr>
      <w:tr w:rsidR="007604EB" w:rsidRPr="007604EB" w14:paraId="69843FEE"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F68B2"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01F60" w14:textId="77777777" w:rsidR="007604EB" w:rsidRPr="007604EB" w:rsidRDefault="007604EB" w:rsidP="007604EB">
            <w:r w:rsidRPr="007604EB">
              <w:t>c) Giờ cao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06DE1" w14:textId="77777777" w:rsidR="007604EB" w:rsidRPr="007604EB" w:rsidRDefault="007604EB" w:rsidP="007604EB">
            <w:r w:rsidRPr="007604EB">
              <w:t>161%</w:t>
            </w:r>
          </w:p>
        </w:tc>
      </w:tr>
      <w:tr w:rsidR="007604EB" w:rsidRPr="007604EB" w14:paraId="4FEC61B0"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57C95" w14:textId="77777777" w:rsidR="007604EB" w:rsidRPr="007604EB" w:rsidRDefault="007604EB" w:rsidP="007604EB">
            <w:r w:rsidRPr="007604EB">
              <w:rPr>
                <w:b/>
                <w:bCs/>
              </w:rPr>
              <w:t>1.4</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921EB" w14:textId="77777777" w:rsidR="007604EB" w:rsidRPr="007604EB" w:rsidRDefault="007604EB" w:rsidP="007604EB">
            <w:r w:rsidRPr="007604EB">
              <w:rPr>
                <w:b/>
                <w:bCs/>
              </w:rPr>
              <w:t>Cấp điện áp dưới 6 kV</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6FA47" w14:textId="77777777" w:rsidR="007604EB" w:rsidRPr="007604EB" w:rsidRDefault="007604EB" w:rsidP="007604EB"/>
        </w:tc>
      </w:tr>
      <w:tr w:rsidR="007604EB" w:rsidRPr="007604EB" w14:paraId="26F63FF6"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C8C5B"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15CB7" w14:textId="77777777" w:rsidR="007604EB" w:rsidRPr="007604EB" w:rsidRDefault="007604EB" w:rsidP="007604EB">
            <w:r w:rsidRPr="007604EB">
              <w:t>a) Giờ bình thường</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EDAA1" w14:textId="77777777" w:rsidR="007604EB" w:rsidRPr="007604EB" w:rsidRDefault="007604EB" w:rsidP="007604EB">
            <w:r w:rsidRPr="007604EB">
              <w:t>92%</w:t>
            </w:r>
          </w:p>
        </w:tc>
      </w:tr>
      <w:tr w:rsidR="007604EB" w:rsidRPr="007604EB" w14:paraId="5840B5F4"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0824E"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3BE2E" w14:textId="77777777" w:rsidR="007604EB" w:rsidRPr="007604EB" w:rsidRDefault="007604EB" w:rsidP="007604EB">
            <w:r w:rsidRPr="007604EB">
              <w:t>b) Giờ thấp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3CE5E" w14:textId="77777777" w:rsidR="007604EB" w:rsidRPr="007604EB" w:rsidRDefault="007604EB" w:rsidP="007604EB">
            <w:r w:rsidRPr="007604EB">
              <w:t>59%</w:t>
            </w:r>
          </w:p>
        </w:tc>
      </w:tr>
      <w:tr w:rsidR="007604EB" w:rsidRPr="007604EB" w14:paraId="288AB46F"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12842"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244EA" w14:textId="77777777" w:rsidR="007604EB" w:rsidRPr="007604EB" w:rsidRDefault="007604EB" w:rsidP="007604EB">
            <w:r w:rsidRPr="007604EB">
              <w:t>c) Giờ cao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AB626" w14:textId="77777777" w:rsidR="007604EB" w:rsidRPr="007604EB" w:rsidRDefault="007604EB" w:rsidP="007604EB">
            <w:r w:rsidRPr="007604EB">
              <w:t>167%</w:t>
            </w:r>
          </w:p>
        </w:tc>
      </w:tr>
      <w:tr w:rsidR="007604EB" w:rsidRPr="007604EB" w14:paraId="40B5667C"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8DE10" w14:textId="77777777" w:rsidR="007604EB" w:rsidRPr="007604EB" w:rsidRDefault="007604EB" w:rsidP="007604EB">
            <w:r w:rsidRPr="007604EB">
              <w:rPr>
                <w:b/>
                <w:bCs/>
              </w:rPr>
              <w:t>2</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C008D" w14:textId="77777777" w:rsidR="007604EB" w:rsidRPr="007604EB" w:rsidRDefault="007604EB" w:rsidP="007604EB">
            <w:r w:rsidRPr="007604EB">
              <w:rPr>
                <w:b/>
                <w:bCs/>
              </w:rPr>
              <w:t>Giá bán lẻ điện cho khối hành chính sự nghiệp</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DFB10" w14:textId="77777777" w:rsidR="007604EB" w:rsidRPr="007604EB" w:rsidRDefault="007604EB" w:rsidP="007604EB"/>
        </w:tc>
      </w:tr>
      <w:tr w:rsidR="007604EB" w:rsidRPr="007604EB" w14:paraId="71DD22E4"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97C71" w14:textId="77777777" w:rsidR="007604EB" w:rsidRPr="007604EB" w:rsidRDefault="007604EB" w:rsidP="007604EB">
            <w:r w:rsidRPr="007604EB">
              <w:rPr>
                <w:b/>
                <w:bCs/>
              </w:rPr>
              <w:t>2.1</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7A2E9" w14:textId="77777777" w:rsidR="007604EB" w:rsidRPr="007604EB" w:rsidRDefault="007604EB" w:rsidP="007604EB">
            <w:r w:rsidRPr="007604EB">
              <w:rPr>
                <w:b/>
                <w:bCs/>
              </w:rPr>
              <w:t>Bệnh viện, nhà trẻ, mẫu giáo, trường phổ thông</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1B6C2" w14:textId="77777777" w:rsidR="007604EB" w:rsidRPr="007604EB" w:rsidRDefault="007604EB" w:rsidP="007604EB"/>
        </w:tc>
      </w:tr>
      <w:tr w:rsidR="007604EB" w:rsidRPr="007604EB" w14:paraId="7F36FD19"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06CC1" w14:textId="77777777" w:rsidR="007604EB" w:rsidRPr="007604EB" w:rsidRDefault="007604EB" w:rsidP="007604EB">
            <w:r w:rsidRPr="007604EB">
              <w:t>2.1.1</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8FF8D" w14:textId="77777777" w:rsidR="007604EB" w:rsidRPr="007604EB" w:rsidRDefault="007604EB" w:rsidP="007604EB">
            <w:r w:rsidRPr="007604EB">
              <w:t>Cấp điện áp từ 6 kv trở lên</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0C374" w14:textId="77777777" w:rsidR="007604EB" w:rsidRPr="007604EB" w:rsidRDefault="007604EB" w:rsidP="007604EB">
            <w:r w:rsidRPr="007604EB">
              <w:t>90%</w:t>
            </w:r>
          </w:p>
        </w:tc>
      </w:tr>
      <w:tr w:rsidR="007604EB" w:rsidRPr="007604EB" w14:paraId="56E7D685"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89E9E" w14:textId="77777777" w:rsidR="007604EB" w:rsidRPr="007604EB" w:rsidRDefault="007604EB" w:rsidP="007604EB">
            <w:r w:rsidRPr="007604EB">
              <w:t>2.1.2</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9FB07" w14:textId="77777777" w:rsidR="007604EB" w:rsidRPr="007604EB" w:rsidRDefault="007604EB" w:rsidP="007604EB">
            <w:r w:rsidRPr="007604EB">
              <w:t>Cấp điện áp dưới 6 kV</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FF71C" w14:textId="77777777" w:rsidR="007604EB" w:rsidRPr="007604EB" w:rsidRDefault="007604EB" w:rsidP="007604EB">
            <w:r w:rsidRPr="007604EB">
              <w:t>96%</w:t>
            </w:r>
          </w:p>
        </w:tc>
      </w:tr>
      <w:tr w:rsidR="007604EB" w:rsidRPr="007604EB" w14:paraId="6126C2EF"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D9525" w14:textId="77777777" w:rsidR="007604EB" w:rsidRPr="007604EB" w:rsidRDefault="007604EB" w:rsidP="007604EB">
            <w:r w:rsidRPr="007604EB">
              <w:rPr>
                <w:b/>
                <w:bCs/>
              </w:rPr>
              <w:t>2.2</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F6456" w14:textId="77777777" w:rsidR="007604EB" w:rsidRPr="007604EB" w:rsidRDefault="007604EB" w:rsidP="007604EB">
            <w:r w:rsidRPr="007604EB">
              <w:rPr>
                <w:b/>
                <w:bCs/>
              </w:rPr>
              <w:t>Chiếu sáng công cộng; đơn vị hành chính sự nghiệp</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9246A" w14:textId="77777777" w:rsidR="007604EB" w:rsidRPr="007604EB" w:rsidRDefault="007604EB" w:rsidP="007604EB"/>
        </w:tc>
      </w:tr>
      <w:tr w:rsidR="007604EB" w:rsidRPr="007604EB" w14:paraId="7C019F4E"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12F28" w14:textId="77777777" w:rsidR="007604EB" w:rsidRPr="007604EB" w:rsidRDefault="007604EB" w:rsidP="007604EB">
            <w:r w:rsidRPr="007604EB">
              <w:t>2.2.1</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ACD53" w14:textId="77777777" w:rsidR="007604EB" w:rsidRPr="007604EB" w:rsidRDefault="007604EB" w:rsidP="007604EB">
            <w:r w:rsidRPr="007604EB">
              <w:t>Cấp điện áp từ 6 kV trở lên</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3C10C" w14:textId="77777777" w:rsidR="007604EB" w:rsidRPr="007604EB" w:rsidRDefault="007604EB" w:rsidP="007604EB">
            <w:r w:rsidRPr="007604EB">
              <w:t>99%</w:t>
            </w:r>
          </w:p>
        </w:tc>
      </w:tr>
      <w:tr w:rsidR="007604EB" w:rsidRPr="007604EB" w14:paraId="6281A079"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96B25" w14:textId="77777777" w:rsidR="007604EB" w:rsidRPr="007604EB" w:rsidRDefault="007604EB" w:rsidP="007604EB">
            <w:r w:rsidRPr="007604EB">
              <w:t>2.2.2</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0555D" w14:textId="77777777" w:rsidR="007604EB" w:rsidRPr="007604EB" w:rsidRDefault="007604EB" w:rsidP="007604EB">
            <w:r w:rsidRPr="007604EB">
              <w:t>Cấp điện áp dưới 6 kV</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7B258" w14:textId="77777777" w:rsidR="007604EB" w:rsidRPr="007604EB" w:rsidRDefault="007604EB" w:rsidP="007604EB">
            <w:r w:rsidRPr="007604EB">
              <w:t>103%</w:t>
            </w:r>
          </w:p>
        </w:tc>
      </w:tr>
      <w:tr w:rsidR="007604EB" w:rsidRPr="007604EB" w14:paraId="56D756A4"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63F3D" w14:textId="77777777" w:rsidR="007604EB" w:rsidRPr="007604EB" w:rsidRDefault="007604EB" w:rsidP="007604EB">
            <w:r w:rsidRPr="007604EB">
              <w:rPr>
                <w:b/>
                <w:bCs/>
              </w:rPr>
              <w:t>3</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4D59B" w14:textId="77777777" w:rsidR="007604EB" w:rsidRPr="007604EB" w:rsidRDefault="007604EB" w:rsidP="007604EB">
            <w:r w:rsidRPr="007604EB">
              <w:rPr>
                <w:b/>
                <w:bCs/>
              </w:rPr>
              <w:t>Giá bán lẻ điện cho kinh doanh</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3A255" w14:textId="77777777" w:rsidR="007604EB" w:rsidRPr="007604EB" w:rsidRDefault="007604EB" w:rsidP="007604EB"/>
        </w:tc>
      </w:tr>
      <w:tr w:rsidR="007604EB" w:rsidRPr="007604EB" w14:paraId="64EC9881"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3C186" w14:textId="77777777" w:rsidR="007604EB" w:rsidRPr="007604EB" w:rsidRDefault="007604EB" w:rsidP="007604EB">
            <w:r w:rsidRPr="007604EB">
              <w:rPr>
                <w:b/>
                <w:bCs/>
              </w:rPr>
              <w:t>3.1</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3F364" w14:textId="77777777" w:rsidR="007604EB" w:rsidRPr="007604EB" w:rsidRDefault="007604EB" w:rsidP="007604EB">
            <w:r w:rsidRPr="007604EB">
              <w:rPr>
                <w:b/>
                <w:bCs/>
              </w:rPr>
              <w:t>Cấp điện áp từ 22 kV trở lên</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D28A1" w14:textId="77777777" w:rsidR="007604EB" w:rsidRPr="007604EB" w:rsidRDefault="007604EB" w:rsidP="007604EB"/>
        </w:tc>
      </w:tr>
      <w:tr w:rsidR="007604EB" w:rsidRPr="007604EB" w14:paraId="2C538680"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37BE8"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55477" w14:textId="77777777" w:rsidR="007604EB" w:rsidRPr="007604EB" w:rsidRDefault="007604EB" w:rsidP="007604EB">
            <w:r w:rsidRPr="007604EB">
              <w:t>a) Giờ bình thường</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62343" w14:textId="77777777" w:rsidR="007604EB" w:rsidRPr="007604EB" w:rsidRDefault="007604EB" w:rsidP="007604EB">
            <w:r w:rsidRPr="007604EB">
              <w:t>133%</w:t>
            </w:r>
          </w:p>
        </w:tc>
      </w:tr>
      <w:tr w:rsidR="007604EB" w:rsidRPr="007604EB" w14:paraId="1B5D4F6A"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BA914"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2302B" w14:textId="77777777" w:rsidR="007604EB" w:rsidRPr="007604EB" w:rsidRDefault="007604EB" w:rsidP="007604EB">
            <w:r w:rsidRPr="007604EB">
              <w:t>b) Giờ thấp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EBB8A" w14:textId="77777777" w:rsidR="007604EB" w:rsidRPr="007604EB" w:rsidRDefault="007604EB" w:rsidP="007604EB">
            <w:r w:rsidRPr="007604EB">
              <w:t>75%</w:t>
            </w:r>
          </w:p>
        </w:tc>
      </w:tr>
      <w:tr w:rsidR="007604EB" w:rsidRPr="007604EB" w14:paraId="1A646C29"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C4469"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9651D" w14:textId="77777777" w:rsidR="007604EB" w:rsidRPr="007604EB" w:rsidRDefault="007604EB" w:rsidP="007604EB">
            <w:r w:rsidRPr="007604EB">
              <w:t>c) Giờ cao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8AB67" w14:textId="77777777" w:rsidR="007604EB" w:rsidRPr="007604EB" w:rsidRDefault="007604EB" w:rsidP="007604EB">
            <w:r w:rsidRPr="007604EB">
              <w:t>230%</w:t>
            </w:r>
          </w:p>
        </w:tc>
      </w:tr>
      <w:tr w:rsidR="007604EB" w:rsidRPr="007604EB" w14:paraId="38AFE805"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60DEE" w14:textId="77777777" w:rsidR="007604EB" w:rsidRPr="007604EB" w:rsidRDefault="007604EB" w:rsidP="007604EB">
            <w:r w:rsidRPr="007604EB">
              <w:rPr>
                <w:b/>
                <w:bCs/>
              </w:rPr>
              <w:t>3.2</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11D4F" w14:textId="77777777" w:rsidR="007604EB" w:rsidRPr="007604EB" w:rsidRDefault="007604EB" w:rsidP="007604EB">
            <w:r w:rsidRPr="007604EB">
              <w:rPr>
                <w:b/>
                <w:bCs/>
              </w:rPr>
              <w:t>Cấp điện áp từ 6 kV đến dưới 22 kV</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E1BDE" w14:textId="77777777" w:rsidR="007604EB" w:rsidRPr="007604EB" w:rsidRDefault="007604EB" w:rsidP="007604EB"/>
        </w:tc>
      </w:tr>
      <w:tr w:rsidR="007604EB" w:rsidRPr="007604EB" w14:paraId="72C512CF"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4CF86"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A1AFF" w14:textId="77777777" w:rsidR="007604EB" w:rsidRPr="007604EB" w:rsidRDefault="007604EB" w:rsidP="007604EB">
            <w:r w:rsidRPr="007604EB">
              <w:t>a) Giờ bình thường</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AA83E" w14:textId="77777777" w:rsidR="007604EB" w:rsidRPr="007604EB" w:rsidRDefault="007604EB" w:rsidP="007604EB">
            <w:r w:rsidRPr="007604EB">
              <w:t>143%</w:t>
            </w:r>
          </w:p>
        </w:tc>
      </w:tr>
      <w:tr w:rsidR="007604EB" w:rsidRPr="007604EB" w14:paraId="344E7AB0"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F898F"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CFE41" w14:textId="77777777" w:rsidR="007604EB" w:rsidRPr="007604EB" w:rsidRDefault="007604EB" w:rsidP="007604EB">
            <w:r w:rsidRPr="007604EB">
              <w:t>b) Giờ thấp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2CC25" w14:textId="77777777" w:rsidR="007604EB" w:rsidRPr="007604EB" w:rsidRDefault="007604EB" w:rsidP="007604EB">
            <w:r w:rsidRPr="007604EB">
              <w:t>85%</w:t>
            </w:r>
          </w:p>
        </w:tc>
      </w:tr>
      <w:tr w:rsidR="007604EB" w:rsidRPr="007604EB" w14:paraId="3025CA02"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58435"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DD007" w14:textId="77777777" w:rsidR="007604EB" w:rsidRPr="007604EB" w:rsidRDefault="007604EB" w:rsidP="007604EB">
            <w:r w:rsidRPr="007604EB">
              <w:t>c) Giờ cao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27029" w14:textId="77777777" w:rsidR="007604EB" w:rsidRPr="007604EB" w:rsidRDefault="007604EB" w:rsidP="007604EB">
            <w:r w:rsidRPr="007604EB">
              <w:t>238%</w:t>
            </w:r>
          </w:p>
        </w:tc>
      </w:tr>
      <w:tr w:rsidR="007604EB" w:rsidRPr="007604EB" w14:paraId="5DE424B3"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384F8" w14:textId="77777777" w:rsidR="007604EB" w:rsidRPr="007604EB" w:rsidRDefault="007604EB" w:rsidP="007604EB">
            <w:r w:rsidRPr="007604EB">
              <w:rPr>
                <w:b/>
                <w:bCs/>
              </w:rPr>
              <w:t>3.3</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0FA8E" w14:textId="77777777" w:rsidR="007604EB" w:rsidRPr="007604EB" w:rsidRDefault="007604EB" w:rsidP="007604EB">
            <w:r w:rsidRPr="007604EB">
              <w:rPr>
                <w:b/>
                <w:bCs/>
              </w:rPr>
              <w:t>Cấp điện áp dưới 6 kV</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8F8F9" w14:textId="77777777" w:rsidR="007604EB" w:rsidRPr="007604EB" w:rsidRDefault="007604EB" w:rsidP="007604EB"/>
        </w:tc>
      </w:tr>
      <w:tr w:rsidR="007604EB" w:rsidRPr="007604EB" w14:paraId="73AEB3FD" w14:textId="77777777" w:rsidTr="007604EB">
        <w:trPr>
          <w:trHeight w:val="47"/>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0C25E"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D53BB" w14:textId="77777777" w:rsidR="007604EB" w:rsidRPr="007604EB" w:rsidRDefault="007604EB" w:rsidP="007604EB">
            <w:r w:rsidRPr="007604EB">
              <w:t>a) Giờ bình thường</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226FF" w14:textId="77777777" w:rsidR="007604EB" w:rsidRPr="007604EB" w:rsidRDefault="007604EB" w:rsidP="007604EB">
            <w:r w:rsidRPr="007604EB">
              <w:t>145%</w:t>
            </w:r>
          </w:p>
        </w:tc>
      </w:tr>
      <w:tr w:rsidR="007604EB" w:rsidRPr="007604EB" w14:paraId="29E46DF9"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BE953"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2C4BB" w14:textId="77777777" w:rsidR="007604EB" w:rsidRPr="007604EB" w:rsidRDefault="007604EB" w:rsidP="007604EB">
            <w:r w:rsidRPr="007604EB">
              <w:t>b) Giờ thấp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220E2" w14:textId="77777777" w:rsidR="007604EB" w:rsidRPr="007604EB" w:rsidRDefault="007604EB" w:rsidP="007604EB">
            <w:r w:rsidRPr="007604EB">
              <w:t>89%</w:t>
            </w:r>
          </w:p>
        </w:tc>
      </w:tr>
      <w:tr w:rsidR="007604EB" w:rsidRPr="007604EB" w14:paraId="61C5B823"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BA447"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A01D2" w14:textId="77777777" w:rsidR="007604EB" w:rsidRPr="007604EB" w:rsidRDefault="007604EB" w:rsidP="007604EB">
            <w:r w:rsidRPr="007604EB">
              <w:t>c) Giờ cao điểm</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4C0D1" w14:textId="77777777" w:rsidR="007604EB" w:rsidRPr="007604EB" w:rsidRDefault="007604EB" w:rsidP="007604EB">
            <w:r w:rsidRPr="007604EB">
              <w:t>248%</w:t>
            </w:r>
          </w:p>
        </w:tc>
      </w:tr>
      <w:tr w:rsidR="007604EB" w:rsidRPr="007604EB" w14:paraId="78620079"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608FA" w14:textId="77777777" w:rsidR="007604EB" w:rsidRPr="007604EB" w:rsidRDefault="007604EB" w:rsidP="007604EB">
            <w:r w:rsidRPr="007604EB">
              <w:rPr>
                <w:b/>
                <w:bCs/>
              </w:rPr>
              <w:lastRenderedPageBreak/>
              <w:t>4</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35F19" w14:textId="77777777" w:rsidR="007604EB" w:rsidRPr="007604EB" w:rsidRDefault="007604EB" w:rsidP="007604EB">
            <w:r w:rsidRPr="007604EB">
              <w:rPr>
                <w:b/>
                <w:bCs/>
              </w:rPr>
              <w:t>Giá bán lẻ điện cho sinh hoạt</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41ABA" w14:textId="77777777" w:rsidR="007604EB" w:rsidRPr="007604EB" w:rsidRDefault="007604EB" w:rsidP="007604EB"/>
        </w:tc>
      </w:tr>
      <w:tr w:rsidR="007604EB" w:rsidRPr="007604EB" w14:paraId="50310D30"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916EB" w14:textId="77777777" w:rsidR="007604EB" w:rsidRPr="007604EB" w:rsidRDefault="007604EB" w:rsidP="007604EB">
            <w:r w:rsidRPr="007604EB">
              <w:rPr>
                <w:b/>
                <w:bCs/>
              </w:rPr>
              <w:t>4.1</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12F94" w14:textId="77777777" w:rsidR="007604EB" w:rsidRPr="007604EB" w:rsidRDefault="007604EB" w:rsidP="007604EB">
            <w:r w:rsidRPr="007604EB">
              <w:rPr>
                <w:b/>
                <w:bCs/>
              </w:rPr>
              <w:t>Giá bán lẻ điện sinh hoạt</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B246C" w14:textId="77777777" w:rsidR="007604EB" w:rsidRPr="007604EB" w:rsidRDefault="007604EB" w:rsidP="007604EB"/>
        </w:tc>
      </w:tr>
      <w:tr w:rsidR="007604EB" w:rsidRPr="007604EB" w14:paraId="51CD55FB"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3CEFF"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8B6F9" w14:textId="77777777" w:rsidR="007604EB" w:rsidRPr="007604EB" w:rsidRDefault="007604EB" w:rsidP="007604EB">
            <w:r w:rsidRPr="007604EB">
              <w:t>Bậc 1: Cho kWh từ 0 - 50</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039FC" w14:textId="77777777" w:rsidR="007604EB" w:rsidRPr="007604EB" w:rsidRDefault="007604EB" w:rsidP="007604EB">
            <w:r w:rsidRPr="007604EB">
              <w:t>92%</w:t>
            </w:r>
          </w:p>
        </w:tc>
      </w:tr>
      <w:tr w:rsidR="007604EB" w:rsidRPr="007604EB" w14:paraId="0922C83D"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86B6E"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E2E5B" w14:textId="77777777" w:rsidR="007604EB" w:rsidRPr="007604EB" w:rsidRDefault="007604EB" w:rsidP="007604EB">
            <w:r w:rsidRPr="007604EB">
              <w:t>Bâc 2: Cho kWh từ 51 - 100</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53945" w14:textId="77777777" w:rsidR="007604EB" w:rsidRPr="007604EB" w:rsidRDefault="007604EB" w:rsidP="007604EB">
            <w:r w:rsidRPr="007604EB">
              <w:t>95%</w:t>
            </w:r>
          </w:p>
        </w:tc>
      </w:tr>
      <w:tr w:rsidR="007604EB" w:rsidRPr="007604EB" w14:paraId="6FBDB129"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87A2C"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396D4" w14:textId="77777777" w:rsidR="007604EB" w:rsidRPr="007604EB" w:rsidRDefault="007604EB" w:rsidP="007604EB">
            <w:r w:rsidRPr="007604EB">
              <w:t>Bậc 3: Cho kWh từ 101 - 200</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E24FD" w14:textId="77777777" w:rsidR="007604EB" w:rsidRPr="007604EB" w:rsidRDefault="007604EB" w:rsidP="007604EB">
            <w:r w:rsidRPr="007604EB">
              <w:t>110%</w:t>
            </w:r>
          </w:p>
        </w:tc>
      </w:tr>
      <w:tr w:rsidR="007604EB" w:rsidRPr="007604EB" w14:paraId="2CD4D94F"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25506"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4AD03" w14:textId="77777777" w:rsidR="007604EB" w:rsidRPr="007604EB" w:rsidRDefault="007604EB" w:rsidP="007604EB">
            <w:r w:rsidRPr="007604EB">
              <w:t>Bâc 4: Cho kWh từ 201 - 300</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DF9CD" w14:textId="77777777" w:rsidR="007604EB" w:rsidRPr="007604EB" w:rsidRDefault="007604EB" w:rsidP="007604EB">
            <w:r w:rsidRPr="007604EB">
              <w:t>138%</w:t>
            </w:r>
          </w:p>
        </w:tc>
      </w:tr>
      <w:tr w:rsidR="007604EB" w:rsidRPr="007604EB" w14:paraId="1C6ECA52"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16923"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B61D1" w14:textId="77777777" w:rsidR="007604EB" w:rsidRPr="007604EB" w:rsidRDefault="007604EB" w:rsidP="007604EB">
            <w:r w:rsidRPr="007604EB">
              <w:t>Bậc 5: Cho kWh từ 301 - 400</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483BE" w14:textId="77777777" w:rsidR="007604EB" w:rsidRPr="007604EB" w:rsidRDefault="007604EB" w:rsidP="007604EB">
            <w:r w:rsidRPr="007604EB">
              <w:t>154%</w:t>
            </w:r>
          </w:p>
        </w:tc>
      </w:tr>
      <w:tr w:rsidR="007604EB" w:rsidRPr="007604EB" w14:paraId="3107F55C"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46B67" w14:textId="77777777" w:rsidR="007604EB" w:rsidRPr="007604EB" w:rsidRDefault="007604EB" w:rsidP="007604EB"/>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9476C" w14:textId="77777777" w:rsidR="007604EB" w:rsidRPr="007604EB" w:rsidRDefault="007604EB" w:rsidP="007604EB">
            <w:r w:rsidRPr="007604EB">
              <w:t>Bậc 6: Cho kWh từ 401 trở lên</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607D9" w14:textId="77777777" w:rsidR="007604EB" w:rsidRPr="007604EB" w:rsidRDefault="007604EB" w:rsidP="007604EB">
            <w:r w:rsidRPr="007604EB">
              <w:t>159%</w:t>
            </w:r>
          </w:p>
        </w:tc>
      </w:tr>
      <w:tr w:rsidR="007604EB" w:rsidRPr="007604EB" w14:paraId="0C5185B0" w14:textId="77777777" w:rsidTr="007604EB">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CA8FC" w14:textId="77777777" w:rsidR="007604EB" w:rsidRPr="007604EB" w:rsidRDefault="007604EB" w:rsidP="007604EB">
            <w:r w:rsidRPr="007604EB">
              <w:rPr>
                <w:b/>
                <w:bCs/>
              </w:rPr>
              <w:t>4.2</w:t>
            </w:r>
          </w:p>
        </w:tc>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B87DE" w14:textId="77777777" w:rsidR="007604EB" w:rsidRPr="007604EB" w:rsidRDefault="007604EB" w:rsidP="007604EB">
            <w:r w:rsidRPr="007604EB">
              <w:rPr>
                <w:b/>
                <w:bCs/>
              </w:rPr>
              <w:t>Giá bán lẻ điện sinh hoạt dùng công tơ thẻ trả trước</w:t>
            </w:r>
          </w:p>
        </w:tc>
        <w:tc>
          <w:tcPr>
            <w:tcW w:w="1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80B98" w14:textId="77777777" w:rsidR="007604EB" w:rsidRPr="007604EB" w:rsidRDefault="007604EB" w:rsidP="007604EB">
            <w:r w:rsidRPr="007604EB">
              <w:t>132%</w:t>
            </w:r>
          </w:p>
        </w:tc>
      </w:tr>
    </w:tbl>
    <w:p w14:paraId="6F05E229" w14:textId="3B1F6ADE" w:rsidR="00317F4F" w:rsidRPr="007604EB" w:rsidRDefault="00317F4F" w:rsidP="007604EB"/>
    <w:sectPr w:rsidR="00317F4F" w:rsidRPr="00760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F3"/>
    <w:rsid w:val="000864F2"/>
    <w:rsid w:val="000D7324"/>
    <w:rsid w:val="001D73F3"/>
    <w:rsid w:val="00306AA2"/>
    <w:rsid w:val="00317F4F"/>
    <w:rsid w:val="00323E3B"/>
    <w:rsid w:val="00363AFE"/>
    <w:rsid w:val="00497141"/>
    <w:rsid w:val="004C3B3E"/>
    <w:rsid w:val="0050208D"/>
    <w:rsid w:val="00581C23"/>
    <w:rsid w:val="006655A1"/>
    <w:rsid w:val="00702C54"/>
    <w:rsid w:val="00732944"/>
    <w:rsid w:val="007604EB"/>
    <w:rsid w:val="00772B48"/>
    <w:rsid w:val="007E6B8E"/>
    <w:rsid w:val="00886942"/>
    <w:rsid w:val="008F6DF9"/>
    <w:rsid w:val="0095688E"/>
    <w:rsid w:val="00A57423"/>
    <w:rsid w:val="00AB2FDA"/>
    <w:rsid w:val="00B41231"/>
    <w:rsid w:val="00D601C6"/>
    <w:rsid w:val="00D82640"/>
    <w:rsid w:val="00E0207D"/>
    <w:rsid w:val="00EA5F97"/>
    <w:rsid w:val="00F9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DF3D"/>
  <w15:chartTrackingRefBased/>
  <w15:docId w15:val="{9AF46F68-61B7-483D-9ECA-F7484D2A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3F3"/>
    <w:rPr>
      <w:rFonts w:eastAsiaTheme="majorEastAsia" w:cstheme="majorBidi"/>
      <w:color w:val="272727" w:themeColor="text1" w:themeTint="D8"/>
    </w:rPr>
  </w:style>
  <w:style w:type="paragraph" w:styleId="Title">
    <w:name w:val="Title"/>
    <w:basedOn w:val="Normal"/>
    <w:next w:val="Normal"/>
    <w:link w:val="TitleChar"/>
    <w:uiPriority w:val="10"/>
    <w:qFormat/>
    <w:rsid w:val="001D7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3F3"/>
    <w:pPr>
      <w:spacing w:before="160"/>
      <w:jc w:val="center"/>
    </w:pPr>
    <w:rPr>
      <w:i/>
      <w:iCs/>
      <w:color w:val="404040" w:themeColor="text1" w:themeTint="BF"/>
    </w:rPr>
  </w:style>
  <w:style w:type="character" w:customStyle="1" w:styleId="QuoteChar">
    <w:name w:val="Quote Char"/>
    <w:basedOn w:val="DefaultParagraphFont"/>
    <w:link w:val="Quote"/>
    <w:uiPriority w:val="29"/>
    <w:rsid w:val="001D73F3"/>
    <w:rPr>
      <w:i/>
      <w:iCs/>
      <w:color w:val="404040" w:themeColor="text1" w:themeTint="BF"/>
    </w:rPr>
  </w:style>
  <w:style w:type="paragraph" w:styleId="ListParagraph">
    <w:name w:val="List Paragraph"/>
    <w:basedOn w:val="Normal"/>
    <w:uiPriority w:val="34"/>
    <w:qFormat/>
    <w:rsid w:val="001D73F3"/>
    <w:pPr>
      <w:ind w:left="720"/>
      <w:contextualSpacing/>
    </w:pPr>
  </w:style>
  <w:style w:type="character" w:styleId="IntenseEmphasis">
    <w:name w:val="Intense Emphasis"/>
    <w:basedOn w:val="DefaultParagraphFont"/>
    <w:uiPriority w:val="21"/>
    <w:qFormat/>
    <w:rsid w:val="001D73F3"/>
    <w:rPr>
      <w:i/>
      <w:iCs/>
      <w:color w:val="2F5496" w:themeColor="accent1" w:themeShade="BF"/>
    </w:rPr>
  </w:style>
  <w:style w:type="paragraph" w:styleId="IntenseQuote">
    <w:name w:val="Intense Quote"/>
    <w:basedOn w:val="Normal"/>
    <w:next w:val="Normal"/>
    <w:link w:val="IntenseQuoteChar"/>
    <w:uiPriority w:val="30"/>
    <w:qFormat/>
    <w:rsid w:val="001D7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3F3"/>
    <w:rPr>
      <w:i/>
      <w:iCs/>
      <w:color w:val="2F5496" w:themeColor="accent1" w:themeShade="BF"/>
    </w:rPr>
  </w:style>
  <w:style w:type="character" w:styleId="IntenseReference">
    <w:name w:val="Intense Reference"/>
    <w:basedOn w:val="DefaultParagraphFont"/>
    <w:uiPriority w:val="32"/>
    <w:qFormat/>
    <w:rsid w:val="001D73F3"/>
    <w:rPr>
      <w:b/>
      <w:bCs/>
      <w:smallCaps/>
      <w:color w:val="2F5496" w:themeColor="accent1" w:themeShade="BF"/>
      <w:spacing w:val="5"/>
    </w:rPr>
  </w:style>
  <w:style w:type="paragraph" w:customStyle="1" w:styleId="msonormal0">
    <w:name w:val="msonormal"/>
    <w:basedOn w:val="Normal"/>
    <w:rsid w:val="001D73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D73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D73F3"/>
    <w:rPr>
      <w:b/>
      <w:bCs/>
    </w:rPr>
  </w:style>
  <w:style w:type="character" w:styleId="Hyperlink">
    <w:name w:val="Hyperlink"/>
    <w:basedOn w:val="DefaultParagraphFont"/>
    <w:uiPriority w:val="99"/>
    <w:unhideWhenUsed/>
    <w:rsid w:val="001D73F3"/>
    <w:rPr>
      <w:color w:val="0000FF"/>
      <w:u w:val="single"/>
    </w:rPr>
  </w:style>
  <w:style w:type="character" w:styleId="FollowedHyperlink">
    <w:name w:val="FollowedHyperlink"/>
    <w:basedOn w:val="DefaultParagraphFont"/>
    <w:uiPriority w:val="99"/>
    <w:semiHidden/>
    <w:unhideWhenUsed/>
    <w:rsid w:val="001D73F3"/>
    <w:rPr>
      <w:color w:val="800080"/>
      <w:u w:val="single"/>
    </w:rPr>
  </w:style>
  <w:style w:type="character" w:styleId="Emphasis">
    <w:name w:val="Emphasis"/>
    <w:basedOn w:val="DefaultParagraphFont"/>
    <w:uiPriority w:val="20"/>
    <w:qFormat/>
    <w:rsid w:val="001D73F3"/>
    <w:rPr>
      <w:i/>
      <w:iCs/>
    </w:rPr>
  </w:style>
  <w:style w:type="character" w:styleId="UnresolvedMention">
    <w:name w:val="Unresolved Mention"/>
    <w:basedOn w:val="DefaultParagraphFont"/>
    <w:uiPriority w:val="99"/>
    <w:semiHidden/>
    <w:unhideWhenUsed/>
    <w:rsid w:val="001D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2535">
      <w:bodyDiv w:val="1"/>
      <w:marLeft w:val="0"/>
      <w:marRight w:val="0"/>
      <w:marTop w:val="0"/>
      <w:marBottom w:val="0"/>
      <w:divBdr>
        <w:top w:val="none" w:sz="0" w:space="0" w:color="auto"/>
        <w:left w:val="none" w:sz="0" w:space="0" w:color="auto"/>
        <w:bottom w:val="none" w:sz="0" w:space="0" w:color="auto"/>
        <w:right w:val="none" w:sz="0" w:space="0" w:color="auto"/>
      </w:divBdr>
    </w:div>
    <w:div w:id="64187411">
      <w:bodyDiv w:val="1"/>
      <w:marLeft w:val="0"/>
      <w:marRight w:val="0"/>
      <w:marTop w:val="0"/>
      <w:marBottom w:val="0"/>
      <w:divBdr>
        <w:top w:val="none" w:sz="0" w:space="0" w:color="auto"/>
        <w:left w:val="none" w:sz="0" w:space="0" w:color="auto"/>
        <w:bottom w:val="none" w:sz="0" w:space="0" w:color="auto"/>
        <w:right w:val="none" w:sz="0" w:space="0" w:color="auto"/>
      </w:divBdr>
    </w:div>
    <w:div w:id="104271395">
      <w:bodyDiv w:val="1"/>
      <w:marLeft w:val="0"/>
      <w:marRight w:val="0"/>
      <w:marTop w:val="0"/>
      <w:marBottom w:val="0"/>
      <w:divBdr>
        <w:top w:val="none" w:sz="0" w:space="0" w:color="auto"/>
        <w:left w:val="none" w:sz="0" w:space="0" w:color="auto"/>
        <w:bottom w:val="none" w:sz="0" w:space="0" w:color="auto"/>
        <w:right w:val="none" w:sz="0" w:space="0" w:color="auto"/>
      </w:divBdr>
    </w:div>
    <w:div w:id="104809624">
      <w:bodyDiv w:val="1"/>
      <w:marLeft w:val="0"/>
      <w:marRight w:val="0"/>
      <w:marTop w:val="0"/>
      <w:marBottom w:val="0"/>
      <w:divBdr>
        <w:top w:val="none" w:sz="0" w:space="0" w:color="auto"/>
        <w:left w:val="none" w:sz="0" w:space="0" w:color="auto"/>
        <w:bottom w:val="none" w:sz="0" w:space="0" w:color="auto"/>
        <w:right w:val="none" w:sz="0" w:space="0" w:color="auto"/>
      </w:divBdr>
    </w:div>
    <w:div w:id="130445914">
      <w:bodyDiv w:val="1"/>
      <w:marLeft w:val="0"/>
      <w:marRight w:val="0"/>
      <w:marTop w:val="0"/>
      <w:marBottom w:val="0"/>
      <w:divBdr>
        <w:top w:val="none" w:sz="0" w:space="0" w:color="auto"/>
        <w:left w:val="none" w:sz="0" w:space="0" w:color="auto"/>
        <w:bottom w:val="none" w:sz="0" w:space="0" w:color="auto"/>
        <w:right w:val="none" w:sz="0" w:space="0" w:color="auto"/>
      </w:divBdr>
    </w:div>
    <w:div w:id="191115740">
      <w:bodyDiv w:val="1"/>
      <w:marLeft w:val="0"/>
      <w:marRight w:val="0"/>
      <w:marTop w:val="0"/>
      <w:marBottom w:val="0"/>
      <w:divBdr>
        <w:top w:val="none" w:sz="0" w:space="0" w:color="auto"/>
        <w:left w:val="none" w:sz="0" w:space="0" w:color="auto"/>
        <w:bottom w:val="none" w:sz="0" w:space="0" w:color="auto"/>
        <w:right w:val="none" w:sz="0" w:space="0" w:color="auto"/>
      </w:divBdr>
    </w:div>
    <w:div w:id="299770704">
      <w:bodyDiv w:val="1"/>
      <w:marLeft w:val="0"/>
      <w:marRight w:val="0"/>
      <w:marTop w:val="0"/>
      <w:marBottom w:val="0"/>
      <w:divBdr>
        <w:top w:val="none" w:sz="0" w:space="0" w:color="auto"/>
        <w:left w:val="none" w:sz="0" w:space="0" w:color="auto"/>
        <w:bottom w:val="none" w:sz="0" w:space="0" w:color="auto"/>
        <w:right w:val="none" w:sz="0" w:space="0" w:color="auto"/>
      </w:divBdr>
    </w:div>
    <w:div w:id="317152593">
      <w:bodyDiv w:val="1"/>
      <w:marLeft w:val="0"/>
      <w:marRight w:val="0"/>
      <w:marTop w:val="0"/>
      <w:marBottom w:val="0"/>
      <w:divBdr>
        <w:top w:val="none" w:sz="0" w:space="0" w:color="auto"/>
        <w:left w:val="none" w:sz="0" w:space="0" w:color="auto"/>
        <w:bottom w:val="none" w:sz="0" w:space="0" w:color="auto"/>
        <w:right w:val="none" w:sz="0" w:space="0" w:color="auto"/>
      </w:divBdr>
    </w:div>
    <w:div w:id="430784823">
      <w:bodyDiv w:val="1"/>
      <w:marLeft w:val="0"/>
      <w:marRight w:val="0"/>
      <w:marTop w:val="0"/>
      <w:marBottom w:val="0"/>
      <w:divBdr>
        <w:top w:val="none" w:sz="0" w:space="0" w:color="auto"/>
        <w:left w:val="none" w:sz="0" w:space="0" w:color="auto"/>
        <w:bottom w:val="none" w:sz="0" w:space="0" w:color="auto"/>
        <w:right w:val="none" w:sz="0" w:space="0" w:color="auto"/>
      </w:divBdr>
    </w:div>
    <w:div w:id="455217962">
      <w:bodyDiv w:val="1"/>
      <w:marLeft w:val="0"/>
      <w:marRight w:val="0"/>
      <w:marTop w:val="0"/>
      <w:marBottom w:val="0"/>
      <w:divBdr>
        <w:top w:val="none" w:sz="0" w:space="0" w:color="auto"/>
        <w:left w:val="none" w:sz="0" w:space="0" w:color="auto"/>
        <w:bottom w:val="none" w:sz="0" w:space="0" w:color="auto"/>
        <w:right w:val="none" w:sz="0" w:space="0" w:color="auto"/>
      </w:divBdr>
    </w:div>
    <w:div w:id="455755038">
      <w:bodyDiv w:val="1"/>
      <w:marLeft w:val="0"/>
      <w:marRight w:val="0"/>
      <w:marTop w:val="0"/>
      <w:marBottom w:val="0"/>
      <w:divBdr>
        <w:top w:val="none" w:sz="0" w:space="0" w:color="auto"/>
        <w:left w:val="none" w:sz="0" w:space="0" w:color="auto"/>
        <w:bottom w:val="none" w:sz="0" w:space="0" w:color="auto"/>
        <w:right w:val="none" w:sz="0" w:space="0" w:color="auto"/>
      </w:divBdr>
      <w:divsChild>
        <w:div w:id="1660767872">
          <w:marLeft w:val="0"/>
          <w:marRight w:val="0"/>
          <w:marTop w:val="0"/>
          <w:marBottom w:val="0"/>
          <w:divBdr>
            <w:top w:val="none" w:sz="0" w:space="0" w:color="auto"/>
            <w:left w:val="none" w:sz="0" w:space="0" w:color="auto"/>
            <w:bottom w:val="none" w:sz="0" w:space="0" w:color="auto"/>
            <w:right w:val="none" w:sz="0" w:space="0" w:color="auto"/>
          </w:divBdr>
        </w:div>
      </w:divsChild>
    </w:div>
    <w:div w:id="708602157">
      <w:bodyDiv w:val="1"/>
      <w:marLeft w:val="0"/>
      <w:marRight w:val="0"/>
      <w:marTop w:val="0"/>
      <w:marBottom w:val="0"/>
      <w:divBdr>
        <w:top w:val="none" w:sz="0" w:space="0" w:color="auto"/>
        <w:left w:val="none" w:sz="0" w:space="0" w:color="auto"/>
        <w:bottom w:val="none" w:sz="0" w:space="0" w:color="auto"/>
        <w:right w:val="none" w:sz="0" w:space="0" w:color="auto"/>
      </w:divBdr>
      <w:divsChild>
        <w:div w:id="124130573">
          <w:marLeft w:val="0"/>
          <w:marRight w:val="0"/>
          <w:marTop w:val="0"/>
          <w:marBottom w:val="0"/>
          <w:divBdr>
            <w:top w:val="none" w:sz="0" w:space="0" w:color="auto"/>
            <w:left w:val="none" w:sz="0" w:space="0" w:color="auto"/>
            <w:bottom w:val="none" w:sz="0" w:space="0" w:color="auto"/>
            <w:right w:val="none" w:sz="0" w:space="0" w:color="auto"/>
          </w:divBdr>
        </w:div>
      </w:divsChild>
    </w:div>
    <w:div w:id="786000686">
      <w:bodyDiv w:val="1"/>
      <w:marLeft w:val="0"/>
      <w:marRight w:val="0"/>
      <w:marTop w:val="0"/>
      <w:marBottom w:val="0"/>
      <w:divBdr>
        <w:top w:val="none" w:sz="0" w:space="0" w:color="auto"/>
        <w:left w:val="none" w:sz="0" w:space="0" w:color="auto"/>
        <w:bottom w:val="none" w:sz="0" w:space="0" w:color="auto"/>
        <w:right w:val="none" w:sz="0" w:space="0" w:color="auto"/>
      </w:divBdr>
    </w:div>
    <w:div w:id="816923521">
      <w:bodyDiv w:val="1"/>
      <w:marLeft w:val="0"/>
      <w:marRight w:val="0"/>
      <w:marTop w:val="0"/>
      <w:marBottom w:val="0"/>
      <w:divBdr>
        <w:top w:val="none" w:sz="0" w:space="0" w:color="auto"/>
        <w:left w:val="none" w:sz="0" w:space="0" w:color="auto"/>
        <w:bottom w:val="none" w:sz="0" w:space="0" w:color="auto"/>
        <w:right w:val="none" w:sz="0" w:space="0" w:color="auto"/>
      </w:divBdr>
    </w:div>
    <w:div w:id="831679855">
      <w:bodyDiv w:val="1"/>
      <w:marLeft w:val="0"/>
      <w:marRight w:val="0"/>
      <w:marTop w:val="0"/>
      <w:marBottom w:val="0"/>
      <w:divBdr>
        <w:top w:val="none" w:sz="0" w:space="0" w:color="auto"/>
        <w:left w:val="none" w:sz="0" w:space="0" w:color="auto"/>
        <w:bottom w:val="none" w:sz="0" w:space="0" w:color="auto"/>
        <w:right w:val="none" w:sz="0" w:space="0" w:color="auto"/>
      </w:divBdr>
    </w:div>
    <w:div w:id="844635747">
      <w:bodyDiv w:val="1"/>
      <w:marLeft w:val="0"/>
      <w:marRight w:val="0"/>
      <w:marTop w:val="0"/>
      <w:marBottom w:val="0"/>
      <w:divBdr>
        <w:top w:val="none" w:sz="0" w:space="0" w:color="auto"/>
        <w:left w:val="none" w:sz="0" w:space="0" w:color="auto"/>
        <w:bottom w:val="none" w:sz="0" w:space="0" w:color="auto"/>
        <w:right w:val="none" w:sz="0" w:space="0" w:color="auto"/>
      </w:divBdr>
    </w:div>
    <w:div w:id="958102214">
      <w:bodyDiv w:val="1"/>
      <w:marLeft w:val="0"/>
      <w:marRight w:val="0"/>
      <w:marTop w:val="0"/>
      <w:marBottom w:val="0"/>
      <w:divBdr>
        <w:top w:val="none" w:sz="0" w:space="0" w:color="auto"/>
        <w:left w:val="none" w:sz="0" w:space="0" w:color="auto"/>
        <w:bottom w:val="none" w:sz="0" w:space="0" w:color="auto"/>
        <w:right w:val="none" w:sz="0" w:space="0" w:color="auto"/>
      </w:divBdr>
    </w:div>
    <w:div w:id="1109543450">
      <w:bodyDiv w:val="1"/>
      <w:marLeft w:val="0"/>
      <w:marRight w:val="0"/>
      <w:marTop w:val="0"/>
      <w:marBottom w:val="0"/>
      <w:divBdr>
        <w:top w:val="none" w:sz="0" w:space="0" w:color="auto"/>
        <w:left w:val="none" w:sz="0" w:space="0" w:color="auto"/>
        <w:bottom w:val="none" w:sz="0" w:space="0" w:color="auto"/>
        <w:right w:val="none" w:sz="0" w:space="0" w:color="auto"/>
      </w:divBdr>
    </w:div>
    <w:div w:id="1179583871">
      <w:bodyDiv w:val="1"/>
      <w:marLeft w:val="0"/>
      <w:marRight w:val="0"/>
      <w:marTop w:val="0"/>
      <w:marBottom w:val="0"/>
      <w:divBdr>
        <w:top w:val="none" w:sz="0" w:space="0" w:color="auto"/>
        <w:left w:val="none" w:sz="0" w:space="0" w:color="auto"/>
        <w:bottom w:val="none" w:sz="0" w:space="0" w:color="auto"/>
        <w:right w:val="none" w:sz="0" w:space="0" w:color="auto"/>
      </w:divBdr>
    </w:div>
    <w:div w:id="1201086885">
      <w:bodyDiv w:val="1"/>
      <w:marLeft w:val="0"/>
      <w:marRight w:val="0"/>
      <w:marTop w:val="0"/>
      <w:marBottom w:val="0"/>
      <w:divBdr>
        <w:top w:val="none" w:sz="0" w:space="0" w:color="auto"/>
        <w:left w:val="none" w:sz="0" w:space="0" w:color="auto"/>
        <w:bottom w:val="none" w:sz="0" w:space="0" w:color="auto"/>
        <w:right w:val="none" w:sz="0" w:space="0" w:color="auto"/>
      </w:divBdr>
    </w:div>
    <w:div w:id="1207449079">
      <w:bodyDiv w:val="1"/>
      <w:marLeft w:val="0"/>
      <w:marRight w:val="0"/>
      <w:marTop w:val="0"/>
      <w:marBottom w:val="0"/>
      <w:divBdr>
        <w:top w:val="none" w:sz="0" w:space="0" w:color="auto"/>
        <w:left w:val="none" w:sz="0" w:space="0" w:color="auto"/>
        <w:bottom w:val="none" w:sz="0" w:space="0" w:color="auto"/>
        <w:right w:val="none" w:sz="0" w:space="0" w:color="auto"/>
      </w:divBdr>
    </w:div>
    <w:div w:id="1215966569">
      <w:bodyDiv w:val="1"/>
      <w:marLeft w:val="0"/>
      <w:marRight w:val="0"/>
      <w:marTop w:val="0"/>
      <w:marBottom w:val="0"/>
      <w:divBdr>
        <w:top w:val="none" w:sz="0" w:space="0" w:color="auto"/>
        <w:left w:val="none" w:sz="0" w:space="0" w:color="auto"/>
        <w:bottom w:val="none" w:sz="0" w:space="0" w:color="auto"/>
        <w:right w:val="none" w:sz="0" w:space="0" w:color="auto"/>
      </w:divBdr>
    </w:div>
    <w:div w:id="1241794079">
      <w:bodyDiv w:val="1"/>
      <w:marLeft w:val="0"/>
      <w:marRight w:val="0"/>
      <w:marTop w:val="0"/>
      <w:marBottom w:val="0"/>
      <w:divBdr>
        <w:top w:val="none" w:sz="0" w:space="0" w:color="auto"/>
        <w:left w:val="none" w:sz="0" w:space="0" w:color="auto"/>
        <w:bottom w:val="none" w:sz="0" w:space="0" w:color="auto"/>
        <w:right w:val="none" w:sz="0" w:space="0" w:color="auto"/>
      </w:divBdr>
    </w:div>
    <w:div w:id="1281302065">
      <w:bodyDiv w:val="1"/>
      <w:marLeft w:val="0"/>
      <w:marRight w:val="0"/>
      <w:marTop w:val="0"/>
      <w:marBottom w:val="0"/>
      <w:divBdr>
        <w:top w:val="none" w:sz="0" w:space="0" w:color="auto"/>
        <w:left w:val="none" w:sz="0" w:space="0" w:color="auto"/>
        <w:bottom w:val="none" w:sz="0" w:space="0" w:color="auto"/>
        <w:right w:val="none" w:sz="0" w:space="0" w:color="auto"/>
      </w:divBdr>
    </w:div>
    <w:div w:id="1300380106">
      <w:bodyDiv w:val="1"/>
      <w:marLeft w:val="0"/>
      <w:marRight w:val="0"/>
      <w:marTop w:val="0"/>
      <w:marBottom w:val="0"/>
      <w:divBdr>
        <w:top w:val="none" w:sz="0" w:space="0" w:color="auto"/>
        <w:left w:val="none" w:sz="0" w:space="0" w:color="auto"/>
        <w:bottom w:val="none" w:sz="0" w:space="0" w:color="auto"/>
        <w:right w:val="none" w:sz="0" w:space="0" w:color="auto"/>
      </w:divBdr>
    </w:div>
    <w:div w:id="1332879762">
      <w:bodyDiv w:val="1"/>
      <w:marLeft w:val="0"/>
      <w:marRight w:val="0"/>
      <w:marTop w:val="0"/>
      <w:marBottom w:val="0"/>
      <w:divBdr>
        <w:top w:val="none" w:sz="0" w:space="0" w:color="auto"/>
        <w:left w:val="none" w:sz="0" w:space="0" w:color="auto"/>
        <w:bottom w:val="none" w:sz="0" w:space="0" w:color="auto"/>
        <w:right w:val="none" w:sz="0" w:space="0" w:color="auto"/>
      </w:divBdr>
    </w:div>
    <w:div w:id="1343362565">
      <w:bodyDiv w:val="1"/>
      <w:marLeft w:val="0"/>
      <w:marRight w:val="0"/>
      <w:marTop w:val="0"/>
      <w:marBottom w:val="0"/>
      <w:divBdr>
        <w:top w:val="none" w:sz="0" w:space="0" w:color="auto"/>
        <w:left w:val="none" w:sz="0" w:space="0" w:color="auto"/>
        <w:bottom w:val="none" w:sz="0" w:space="0" w:color="auto"/>
        <w:right w:val="none" w:sz="0" w:space="0" w:color="auto"/>
      </w:divBdr>
    </w:div>
    <w:div w:id="1443496795">
      <w:bodyDiv w:val="1"/>
      <w:marLeft w:val="0"/>
      <w:marRight w:val="0"/>
      <w:marTop w:val="0"/>
      <w:marBottom w:val="0"/>
      <w:divBdr>
        <w:top w:val="none" w:sz="0" w:space="0" w:color="auto"/>
        <w:left w:val="none" w:sz="0" w:space="0" w:color="auto"/>
        <w:bottom w:val="none" w:sz="0" w:space="0" w:color="auto"/>
        <w:right w:val="none" w:sz="0" w:space="0" w:color="auto"/>
      </w:divBdr>
    </w:div>
    <w:div w:id="1498154525">
      <w:bodyDiv w:val="1"/>
      <w:marLeft w:val="0"/>
      <w:marRight w:val="0"/>
      <w:marTop w:val="0"/>
      <w:marBottom w:val="0"/>
      <w:divBdr>
        <w:top w:val="none" w:sz="0" w:space="0" w:color="auto"/>
        <w:left w:val="none" w:sz="0" w:space="0" w:color="auto"/>
        <w:bottom w:val="none" w:sz="0" w:space="0" w:color="auto"/>
        <w:right w:val="none" w:sz="0" w:space="0" w:color="auto"/>
      </w:divBdr>
    </w:div>
    <w:div w:id="1512406767">
      <w:bodyDiv w:val="1"/>
      <w:marLeft w:val="0"/>
      <w:marRight w:val="0"/>
      <w:marTop w:val="0"/>
      <w:marBottom w:val="0"/>
      <w:divBdr>
        <w:top w:val="none" w:sz="0" w:space="0" w:color="auto"/>
        <w:left w:val="none" w:sz="0" w:space="0" w:color="auto"/>
        <w:bottom w:val="none" w:sz="0" w:space="0" w:color="auto"/>
        <w:right w:val="none" w:sz="0" w:space="0" w:color="auto"/>
      </w:divBdr>
      <w:divsChild>
        <w:div w:id="1782989591">
          <w:marLeft w:val="0"/>
          <w:marRight w:val="0"/>
          <w:marTop w:val="0"/>
          <w:marBottom w:val="0"/>
          <w:divBdr>
            <w:top w:val="none" w:sz="0" w:space="0" w:color="auto"/>
            <w:left w:val="none" w:sz="0" w:space="0" w:color="auto"/>
            <w:bottom w:val="none" w:sz="0" w:space="0" w:color="auto"/>
            <w:right w:val="none" w:sz="0" w:space="0" w:color="auto"/>
          </w:divBdr>
        </w:div>
      </w:divsChild>
    </w:div>
    <w:div w:id="1548031386">
      <w:bodyDiv w:val="1"/>
      <w:marLeft w:val="0"/>
      <w:marRight w:val="0"/>
      <w:marTop w:val="0"/>
      <w:marBottom w:val="0"/>
      <w:divBdr>
        <w:top w:val="none" w:sz="0" w:space="0" w:color="auto"/>
        <w:left w:val="none" w:sz="0" w:space="0" w:color="auto"/>
        <w:bottom w:val="none" w:sz="0" w:space="0" w:color="auto"/>
        <w:right w:val="none" w:sz="0" w:space="0" w:color="auto"/>
      </w:divBdr>
    </w:div>
    <w:div w:id="1554463165">
      <w:bodyDiv w:val="1"/>
      <w:marLeft w:val="0"/>
      <w:marRight w:val="0"/>
      <w:marTop w:val="0"/>
      <w:marBottom w:val="0"/>
      <w:divBdr>
        <w:top w:val="none" w:sz="0" w:space="0" w:color="auto"/>
        <w:left w:val="none" w:sz="0" w:space="0" w:color="auto"/>
        <w:bottom w:val="none" w:sz="0" w:space="0" w:color="auto"/>
        <w:right w:val="none" w:sz="0" w:space="0" w:color="auto"/>
      </w:divBdr>
    </w:div>
    <w:div w:id="1718511983">
      <w:bodyDiv w:val="1"/>
      <w:marLeft w:val="0"/>
      <w:marRight w:val="0"/>
      <w:marTop w:val="0"/>
      <w:marBottom w:val="0"/>
      <w:divBdr>
        <w:top w:val="none" w:sz="0" w:space="0" w:color="auto"/>
        <w:left w:val="none" w:sz="0" w:space="0" w:color="auto"/>
        <w:bottom w:val="none" w:sz="0" w:space="0" w:color="auto"/>
        <w:right w:val="none" w:sz="0" w:space="0" w:color="auto"/>
      </w:divBdr>
    </w:div>
    <w:div w:id="1815025188">
      <w:bodyDiv w:val="1"/>
      <w:marLeft w:val="0"/>
      <w:marRight w:val="0"/>
      <w:marTop w:val="0"/>
      <w:marBottom w:val="0"/>
      <w:divBdr>
        <w:top w:val="none" w:sz="0" w:space="0" w:color="auto"/>
        <w:left w:val="none" w:sz="0" w:space="0" w:color="auto"/>
        <w:bottom w:val="none" w:sz="0" w:space="0" w:color="auto"/>
        <w:right w:val="none" w:sz="0" w:space="0" w:color="auto"/>
      </w:divBdr>
    </w:div>
    <w:div w:id="1862010740">
      <w:bodyDiv w:val="1"/>
      <w:marLeft w:val="0"/>
      <w:marRight w:val="0"/>
      <w:marTop w:val="0"/>
      <w:marBottom w:val="0"/>
      <w:divBdr>
        <w:top w:val="none" w:sz="0" w:space="0" w:color="auto"/>
        <w:left w:val="none" w:sz="0" w:space="0" w:color="auto"/>
        <w:bottom w:val="none" w:sz="0" w:space="0" w:color="auto"/>
        <w:right w:val="none" w:sz="0" w:space="0" w:color="auto"/>
      </w:divBdr>
    </w:div>
    <w:div w:id="1866207790">
      <w:bodyDiv w:val="1"/>
      <w:marLeft w:val="0"/>
      <w:marRight w:val="0"/>
      <w:marTop w:val="0"/>
      <w:marBottom w:val="0"/>
      <w:divBdr>
        <w:top w:val="none" w:sz="0" w:space="0" w:color="auto"/>
        <w:left w:val="none" w:sz="0" w:space="0" w:color="auto"/>
        <w:bottom w:val="none" w:sz="0" w:space="0" w:color="auto"/>
        <w:right w:val="none" w:sz="0" w:space="0" w:color="auto"/>
      </w:divBdr>
    </w:div>
    <w:div w:id="1971861319">
      <w:bodyDiv w:val="1"/>
      <w:marLeft w:val="0"/>
      <w:marRight w:val="0"/>
      <w:marTop w:val="0"/>
      <w:marBottom w:val="0"/>
      <w:divBdr>
        <w:top w:val="none" w:sz="0" w:space="0" w:color="auto"/>
        <w:left w:val="none" w:sz="0" w:space="0" w:color="auto"/>
        <w:bottom w:val="none" w:sz="0" w:space="0" w:color="auto"/>
        <w:right w:val="none" w:sz="0" w:space="0" w:color="auto"/>
      </w:divBdr>
    </w:div>
    <w:div w:id="1978146707">
      <w:bodyDiv w:val="1"/>
      <w:marLeft w:val="0"/>
      <w:marRight w:val="0"/>
      <w:marTop w:val="0"/>
      <w:marBottom w:val="0"/>
      <w:divBdr>
        <w:top w:val="none" w:sz="0" w:space="0" w:color="auto"/>
        <w:left w:val="none" w:sz="0" w:space="0" w:color="auto"/>
        <w:bottom w:val="none" w:sz="0" w:space="0" w:color="auto"/>
        <w:right w:val="none" w:sz="0" w:space="0" w:color="auto"/>
      </w:divBdr>
    </w:div>
    <w:div w:id="2036617357">
      <w:bodyDiv w:val="1"/>
      <w:marLeft w:val="0"/>
      <w:marRight w:val="0"/>
      <w:marTop w:val="0"/>
      <w:marBottom w:val="0"/>
      <w:divBdr>
        <w:top w:val="none" w:sz="0" w:space="0" w:color="auto"/>
        <w:left w:val="none" w:sz="0" w:space="0" w:color="auto"/>
        <w:bottom w:val="none" w:sz="0" w:space="0" w:color="auto"/>
        <w:right w:val="none" w:sz="0" w:space="0" w:color="auto"/>
      </w:divBdr>
    </w:div>
    <w:div w:id="2044593934">
      <w:bodyDiv w:val="1"/>
      <w:marLeft w:val="0"/>
      <w:marRight w:val="0"/>
      <w:marTop w:val="0"/>
      <w:marBottom w:val="0"/>
      <w:divBdr>
        <w:top w:val="none" w:sz="0" w:space="0" w:color="auto"/>
        <w:left w:val="none" w:sz="0" w:space="0" w:color="auto"/>
        <w:bottom w:val="none" w:sz="0" w:space="0" w:color="auto"/>
        <w:right w:val="none" w:sz="0" w:space="0" w:color="auto"/>
      </w:divBdr>
      <w:divsChild>
        <w:div w:id="473180663">
          <w:marLeft w:val="0"/>
          <w:marRight w:val="0"/>
          <w:marTop w:val="0"/>
          <w:marBottom w:val="0"/>
          <w:divBdr>
            <w:top w:val="none" w:sz="0" w:space="0" w:color="auto"/>
            <w:left w:val="none" w:sz="0" w:space="0" w:color="auto"/>
            <w:bottom w:val="none" w:sz="0" w:space="0" w:color="auto"/>
            <w:right w:val="none" w:sz="0" w:space="0" w:color="auto"/>
          </w:divBdr>
        </w:div>
      </w:divsChild>
    </w:div>
    <w:div w:id="2049183369">
      <w:bodyDiv w:val="1"/>
      <w:marLeft w:val="0"/>
      <w:marRight w:val="0"/>
      <w:marTop w:val="0"/>
      <w:marBottom w:val="0"/>
      <w:divBdr>
        <w:top w:val="none" w:sz="0" w:space="0" w:color="auto"/>
        <w:left w:val="none" w:sz="0" w:space="0" w:color="auto"/>
        <w:bottom w:val="none" w:sz="0" w:space="0" w:color="auto"/>
        <w:right w:val="none" w:sz="0" w:space="0" w:color="auto"/>
      </w:divBdr>
    </w:div>
    <w:div w:id="205411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37-2013-nd-cp-huong-dan-luat-dien-luc-va-luat-dien-luc-sua-doi.aspx" TargetMode="External"/><Relationship Id="rId3" Type="http://schemas.openxmlformats.org/officeDocument/2006/relationships/webSettings" Target="webSettings.xml"/><Relationship Id="rId7" Type="http://schemas.openxmlformats.org/officeDocument/2006/relationships/hyperlink" Target="https://admin.luatminhkhue.vn/van-ban/luat-dien-luc-sua-doi-bo-sung-nam-201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dien-luc-nam-2004.aspx" TargetMode="External"/><Relationship Id="rId11" Type="http://schemas.openxmlformats.org/officeDocument/2006/relationships/theme" Target="theme/theme1.xml"/><Relationship Id="rId5" Type="http://schemas.openxmlformats.org/officeDocument/2006/relationships/hyperlink" Target="https://admin.luatminhkhue.vn/van-ban/luat-to-chuc-chinh-phu-nam-2001.aspx" TargetMode="External"/><Relationship Id="rId10" Type="http://schemas.openxmlformats.org/officeDocument/2006/relationships/fontTable" Target="fontTable.xml"/><Relationship Id="rId4" Type="http://schemas.openxmlformats.org/officeDocument/2006/relationships/hyperlink" Target="https://admin.luatminhkhue.vn/van-ban/luat-to-chuc-chinh-phu-nam-2001.aspx" TargetMode="External"/><Relationship Id="rId9" Type="http://schemas.openxmlformats.org/officeDocument/2006/relationships/hyperlink" Target="https://admin.luatminhkhue.vn/van-ban/nghi-dinh-137-2013-nd-cp-huong-dan-luat-dien-luc-va-luat-dien-luc-sua-do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1385</Words>
  <Characters>7897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42</cp:revision>
  <dcterms:created xsi:type="dcterms:W3CDTF">2025-01-07T10:08:00Z</dcterms:created>
  <dcterms:modified xsi:type="dcterms:W3CDTF">2025-01-07T11:16:00Z</dcterms:modified>
</cp:coreProperties>
</file>