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4F0489" w:rsidRPr="004F0489" w:rsidTr="004F0489">
        <w:trPr>
          <w:tblCellSpacing w:w="0" w:type="dxa"/>
        </w:trPr>
        <w:tc>
          <w:tcPr>
            <w:tcW w:w="3348"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center"/>
              <w:rPr>
                <w:rFonts w:ascii="Arial" w:eastAsia="Times New Roman" w:hAnsi="Arial" w:cs="Arial"/>
                <w:color w:val="000000" w:themeColor="text1"/>
                <w:sz w:val="18"/>
                <w:szCs w:val="18"/>
              </w:rPr>
            </w:pPr>
            <w:bookmarkStart w:id="0" w:name="_GoBack"/>
            <w:r w:rsidRPr="004F0489">
              <w:rPr>
                <w:rFonts w:ascii="Arial" w:eastAsia="Times New Roman" w:hAnsi="Arial" w:cs="Arial"/>
                <w:b/>
                <w:bCs/>
                <w:color w:val="000000" w:themeColor="text1"/>
                <w:sz w:val="18"/>
                <w:szCs w:val="18"/>
              </w:rPr>
              <w:t>BỘ TÀI CHÍNH - BỘ TƯ PHÁP</w:t>
            </w:r>
            <w:r w:rsidRPr="004F0489">
              <w:rPr>
                <w:rFonts w:ascii="Arial" w:eastAsia="Times New Roman" w:hAnsi="Arial" w:cs="Arial"/>
                <w:b/>
                <w:bCs/>
                <w:color w:val="000000" w:themeColor="text1"/>
                <w:sz w:val="18"/>
                <w:szCs w:val="18"/>
              </w:rPr>
              <w:br/>
              <w:t>--------</w:t>
            </w:r>
          </w:p>
        </w:tc>
        <w:tc>
          <w:tcPr>
            <w:tcW w:w="5631"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center"/>
              <w:rPr>
                <w:rFonts w:ascii="Arial" w:eastAsia="Times New Roman" w:hAnsi="Arial" w:cs="Arial"/>
                <w:color w:val="000000" w:themeColor="text1"/>
                <w:sz w:val="18"/>
                <w:szCs w:val="18"/>
              </w:rPr>
            </w:pPr>
            <w:r w:rsidRPr="004F0489">
              <w:rPr>
                <w:rFonts w:ascii="Arial" w:eastAsia="Times New Roman" w:hAnsi="Arial" w:cs="Arial"/>
                <w:b/>
                <w:bCs/>
                <w:color w:val="000000" w:themeColor="text1"/>
                <w:sz w:val="18"/>
                <w:szCs w:val="18"/>
              </w:rPr>
              <w:t>CỘNG HÒA XÃ HỘI CHỦ NGHĨA VIỆT NAM</w:t>
            </w:r>
            <w:r w:rsidRPr="004F0489">
              <w:rPr>
                <w:rFonts w:ascii="Arial" w:eastAsia="Times New Roman" w:hAnsi="Arial" w:cs="Arial"/>
                <w:b/>
                <w:bCs/>
                <w:color w:val="000000" w:themeColor="text1"/>
                <w:sz w:val="18"/>
                <w:szCs w:val="18"/>
              </w:rPr>
              <w:br/>
              <w:t>Độc lập - Tự do - Hạnh phúc</w:t>
            </w:r>
            <w:r w:rsidRPr="004F0489">
              <w:rPr>
                <w:rFonts w:ascii="Arial" w:eastAsia="Times New Roman" w:hAnsi="Arial" w:cs="Arial"/>
                <w:b/>
                <w:bCs/>
                <w:color w:val="000000" w:themeColor="text1"/>
                <w:sz w:val="18"/>
                <w:szCs w:val="18"/>
              </w:rPr>
              <w:br/>
              <w:t>----------------</w:t>
            </w:r>
          </w:p>
        </w:tc>
      </w:tr>
      <w:tr w:rsidR="004F0489" w:rsidRPr="004F0489" w:rsidTr="004F0489">
        <w:trPr>
          <w:tblCellSpacing w:w="0" w:type="dxa"/>
        </w:trPr>
        <w:tc>
          <w:tcPr>
            <w:tcW w:w="3348"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center"/>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Số: 69/2011/TTLT-BTC-BTP</w:t>
            </w:r>
          </w:p>
        </w:tc>
        <w:tc>
          <w:tcPr>
            <w:tcW w:w="5631"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right"/>
              <w:rPr>
                <w:rFonts w:ascii="Arial" w:eastAsia="Times New Roman" w:hAnsi="Arial" w:cs="Arial"/>
                <w:color w:val="000000" w:themeColor="text1"/>
                <w:sz w:val="18"/>
                <w:szCs w:val="18"/>
              </w:rPr>
            </w:pPr>
            <w:r w:rsidRPr="004F0489">
              <w:rPr>
                <w:rFonts w:ascii="Arial" w:eastAsia="Times New Roman" w:hAnsi="Arial" w:cs="Arial"/>
                <w:i/>
                <w:iCs/>
                <w:color w:val="000000" w:themeColor="text1"/>
                <w:sz w:val="18"/>
                <w:szCs w:val="18"/>
              </w:rPr>
              <w:t>Hà Nội, ngày 18 tháng 5 năm 2011</w:t>
            </w:r>
          </w:p>
        </w:tc>
      </w:tr>
    </w:tbl>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 </w:t>
      </w:r>
    </w:p>
    <w:p w:rsidR="004F0489" w:rsidRPr="004F0489" w:rsidRDefault="004F0489" w:rsidP="004F0489">
      <w:pPr>
        <w:shd w:val="clear" w:color="auto" w:fill="FFFFFF"/>
        <w:spacing w:after="0" w:line="234" w:lineRule="atLeast"/>
        <w:jc w:val="center"/>
        <w:rPr>
          <w:rFonts w:ascii="Arial" w:eastAsia="Times New Roman" w:hAnsi="Arial" w:cs="Arial"/>
          <w:color w:val="000000" w:themeColor="text1"/>
          <w:sz w:val="18"/>
          <w:szCs w:val="18"/>
        </w:rPr>
      </w:pPr>
      <w:bookmarkStart w:id="1" w:name="loai_1"/>
      <w:r w:rsidRPr="004F0489">
        <w:rPr>
          <w:rFonts w:ascii="Arial" w:eastAsia="Times New Roman" w:hAnsi="Arial" w:cs="Arial"/>
          <w:b/>
          <w:bCs/>
          <w:color w:val="000000" w:themeColor="text1"/>
          <w:sz w:val="24"/>
          <w:szCs w:val="24"/>
          <w:lang w:val="vi-VN"/>
        </w:rPr>
        <w:t>THÔNG TƯ LIÊN TỊCH</w:t>
      </w:r>
      <w:bookmarkEnd w:id="1"/>
    </w:p>
    <w:p w:rsidR="004F0489" w:rsidRPr="004F0489" w:rsidRDefault="004F0489" w:rsidP="004F0489">
      <w:pPr>
        <w:shd w:val="clear" w:color="auto" w:fill="FFFFFF"/>
        <w:spacing w:after="0" w:line="234" w:lineRule="atLeast"/>
        <w:jc w:val="center"/>
        <w:rPr>
          <w:rFonts w:ascii="Arial" w:eastAsia="Times New Roman" w:hAnsi="Arial" w:cs="Arial"/>
          <w:color w:val="000000" w:themeColor="text1"/>
          <w:sz w:val="18"/>
          <w:szCs w:val="18"/>
        </w:rPr>
      </w:pPr>
      <w:bookmarkStart w:id="2" w:name="loai_1_name"/>
      <w:r w:rsidRPr="004F0489">
        <w:rPr>
          <w:rFonts w:ascii="Arial" w:eastAsia="Times New Roman" w:hAnsi="Arial" w:cs="Arial"/>
          <w:color w:val="000000" w:themeColor="text1"/>
          <w:sz w:val="18"/>
          <w:szCs w:val="18"/>
          <w:lang w:val="vi-VN"/>
        </w:rPr>
        <w:t>HƯỚNG DẪN CHẾ ĐỘ THU, NỘP, QUẢN LÝ VÀ SỬ DỤNG LỆ PHÍ ĐĂNG KÝ GIAO DỊCH BẢO ĐẢM, PHÍ CUNG CẤP THÔNG TIN VỀ GIAO DỊCH BẢO ĐẢM VÀ PHÍ SỬ DỤNG DỊCH VỤ KHÁCH HÀNG THƯỜNG XUYÊN</w:t>
      </w:r>
      <w:bookmarkEnd w:id="2"/>
    </w:p>
    <w:p w:rsidR="004F0489" w:rsidRPr="004F0489" w:rsidRDefault="004F0489" w:rsidP="004F0489">
      <w:pPr>
        <w:shd w:val="clear" w:color="auto" w:fill="FFFFFF"/>
        <w:spacing w:after="0" w:line="234" w:lineRule="atLeast"/>
        <w:rPr>
          <w:rFonts w:ascii="Arial" w:eastAsia="Times New Roman" w:hAnsi="Arial" w:cs="Arial"/>
          <w:color w:val="000000" w:themeColor="text1"/>
          <w:sz w:val="18"/>
          <w:szCs w:val="18"/>
        </w:rPr>
      </w:pPr>
      <w:r w:rsidRPr="004F0489">
        <w:rPr>
          <w:rFonts w:ascii="Arial" w:eastAsia="Times New Roman" w:hAnsi="Arial" w:cs="Arial"/>
          <w:i/>
          <w:iCs/>
          <w:color w:val="000000" w:themeColor="text1"/>
          <w:sz w:val="18"/>
          <w:szCs w:val="18"/>
          <w:lang w:val="vi-VN"/>
        </w:rPr>
        <w:t>Căn cứ Nghị định số 57/2002/NĐ-CP ngày 03 tháng 6 năm 2002 của Chính phủ quy định chi tiết thi hành Pháp lệnh Phí và lệ phí; Nghị định số 24/2006/NĐ-CP ngày 06 tháng 3 năm 2006 của Chính phủ sửa đổi, bổ sung một số điều của Nghị định số 57/2002/NĐ-CP ngày 03 tháng 6 năm 2002 của Chính phủ quy định chi tiết thi hành Pháp lệnh Phí và lệ phí;</w:t>
      </w:r>
      <w:r w:rsidRPr="004F0489">
        <w:rPr>
          <w:rFonts w:ascii="Arial" w:eastAsia="Times New Roman" w:hAnsi="Arial" w:cs="Arial"/>
          <w:i/>
          <w:iCs/>
          <w:color w:val="000000" w:themeColor="text1"/>
          <w:sz w:val="18"/>
          <w:szCs w:val="18"/>
          <w:lang w:val="vi-VN"/>
        </w:rPr>
        <w:br/>
        <w:t>Căn cứ Nghị định số 83/2010/NĐ-CP ngày 23 tháng 7 năm 2010 của Chính phủ về đăng ký giao dịch bảo đảm;</w:t>
      </w:r>
      <w:r w:rsidRPr="004F0489">
        <w:rPr>
          <w:rFonts w:ascii="Arial" w:eastAsia="Times New Roman" w:hAnsi="Arial" w:cs="Arial"/>
          <w:i/>
          <w:iCs/>
          <w:color w:val="000000" w:themeColor="text1"/>
          <w:sz w:val="18"/>
          <w:szCs w:val="18"/>
          <w:lang w:val="vi-VN"/>
        </w:rPr>
        <w:br/>
        <w:t>Căn cứ Nghị định số 41/2010/NĐ-CP ngày 12 tháng 4 năm 2010 của Chính phủ về chính sách tín dụng phục vụ phát triển nông nghiệp nông thôn;</w:t>
      </w:r>
      <w:r w:rsidRPr="004F0489">
        <w:rPr>
          <w:rFonts w:ascii="Arial" w:eastAsia="Times New Roman" w:hAnsi="Arial" w:cs="Arial"/>
          <w:i/>
          <w:iCs/>
          <w:color w:val="000000" w:themeColor="text1"/>
          <w:sz w:val="18"/>
          <w:szCs w:val="18"/>
          <w:lang w:val="vi-VN"/>
        </w:rPr>
        <w:br/>
        <w:t>Căn cứ Nghị định số 118/2008/NĐ-CP ngày 27 tháng 11 năm 2008 của Chính phủ quy định chức năng, nhiệm vụ, quyền hạn và cơ cấu tổ chức của Bộ Tài chính;</w:t>
      </w:r>
      <w:r w:rsidRPr="004F0489">
        <w:rPr>
          <w:rFonts w:ascii="Arial" w:eastAsia="Times New Roman" w:hAnsi="Arial" w:cs="Arial"/>
          <w:i/>
          <w:iCs/>
          <w:color w:val="000000" w:themeColor="text1"/>
          <w:sz w:val="18"/>
          <w:szCs w:val="18"/>
          <w:lang w:val="vi-VN"/>
        </w:rPr>
        <w:br/>
        <w:t>Căn cứ Nghị định số 93/2008/NĐ-CP ngày 22 tháng 8 năm 2008 của Chính phủ quy định chức năng, nhiệm vụ, quyền hạn và cơ cấu tổ chức của Bộ Tư pháp;</w:t>
      </w:r>
      <w:r w:rsidRPr="004F0489">
        <w:rPr>
          <w:rFonts w:ascii="Arial" w:eastAsia="Times New Roman" w:hAnsi="Arial" w:cs="Arial"/>
          <w:i/>
          <w:iCs/>
          <w:color w:val="000000" w:themeColor="text1"/>
          <w:sz w:val="18"/>
          <w:szCs w:val="18"/>
          <w:lang w:val="vi-VN"/>
        </w:rPr>
        <w:br/>
        <w:t>Liên Bộ Tài chính và Bộ Tư pháp hướng dẫn chế độ thu, nộp, quản lý và sử dụng lệ phí đăng ký giao dịch bảo đảm, phí cung cấp thông tin về giao dịch bảo đảm và phí sử dụng dịch vụ khách hàng thường xuyên như sau:</w:t>
      </w:r>
    </w:p>
    <w:p w:rsidR="004F0489" w:rsidRPr="004F0489" w:rsidRDefault="004F0489" w:rsidP="004F0489">
      <w:pPr>
        <w:shd w:val="clear" w:color="auto" w:fill="FFFFFF"/>
        <w:spacing w:after="0" w:line="234" w:lineRule="atLeast"/>
        <w:rPr>
          <w:rFonts w:ascii="Arial" w:eastAsia="Times New Roman" w:hAnsi="Arial" w:cs="Arial"/>
          <w:color w:val="000000" w:themeColor="text1"/>
          <w:sz w:val="18"/>
          <w:szCs w:val="18"/>
        </w:rPr>
      </w:pPr>
      <w:bookmarkStart w:id="3" w:name="dieu_1"/>
      <w:r w:rsidRPr="004F0489">
        <w:rPr>
          <w:rFonts w:ascii="Arial" w:eastAsia="Times New Roman" w:hAnsi="Arial" w:cs="Arial"/>
          <w:b/>
          <w:bCs/>
          <w:color w:val="000000" w:themeColor="text1"/>
          <w:sz w:val="18"/>
          <w:szCs w:val="18"/>
          <w:lang w:val="vi-VN"/>
        </w:rPr>
        <w:t>Điều 1. Đối tượng, phạm vi áp dụng</w:t>
      </w:r>
      <w:bookmarkEnd w:id="3"/>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lang w:val="vi-VN"/>
        </w:rPr>
      </w:pPr>
      <w:r w:rsidRPr="004F0489">
        <w:rPr>
          <w:rFonts w:ascii="Arial" w:eastAsia="Times New Roman" w:hAnsi="Arial" w:cs="Arial"/>
          <w:color w:val="000000" w:themeColor="text1"/>
          <w:sz w:val="18"/>
          <w:szCs w:val="18"/>
          <w:lang w:val="vi-VN"/>
        </w:rPr>
        <w:t>1. Tổ chức, cá nhân yêu cầu đăng ký giao dịch bảo đảm, hợp đồng, thông báo việc kê biên tài sản thi hành án; yêu cầu cung cấp thông tin về giao dịch bảo đảm, hợp đồng, tài sản kê biên; cung cấp bản sao văn bản chứng nhận nội dung đăng ký giao dịch bảo đảm, hợp đồng, thông báo việc kê biên tài sản thi hành án; yêu cầu sử dụng dịch vụ khách hàng thường xuyên tại Cục Đăng ký quốc gia giao dịch bảo đảm phải nộp các khoản lệ phí đăng ký giao dịch bảo đảm, phí cung cấp thông tin về giao dịch bảo đảm, phí sử dụng dịch vụ khách hàng thường xuyên tương ứng theo quy định tại Thông tư này. Mức thu, chế độ thu, nộp, quản lý và sử dụng phí, lệ phí trong lĩnh vực hàng không được thực hiện theo hướng dẫn riêng của Bộ Tài chính.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lang w:val="vi-VN"/>
        </w:rPr>
      </w:pPr>
      <w:r w:rsidRPr="004F0489">
        <w:rPr>
          <w:rFonts w:ascii="Arial" w:eastAsia="Times New Roman" w:hAnsi="Arial" w:cs="Arial"/>
          <w:color w:val="000000" w:themeColor="text1"/>
          <w:sz w:val="18"/>
          <w:szCs w:val="18"/>
          <w:lang w:val="vi-VN"/>
        </w:rPr>
        <w:t>2. Các cơ quan có thẩm quyền thu lệ phí đăng ký giao dịch bảo đảm, phí cung cấp thông tin về giao dịch bảo đảm và phí sử dụng dịch vụ khách hàng thường xuyên có trách nhiệm thực hiện việc thu, nộp, quản lý và sử dụng phí, lệ phí theo quy định tại Thông tư này.</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lang w:val="vi-VN"/>
        </w:rPr>
      </w:pPr>
      <w:r w:rsidRPr="004F0489">
        <w:rPr>
          <w:rFonts w:ascii="Arial" w:eastAsia="Times New Roman" w:hAnsi="Arial" w:cs="Arial"/>
          <w:color w:val="000000" w:themeColor="text1"/>
          <w:sz w:val="18"/>
          <w:szCs w:val="18"/>
          <w:lang w:val="vi-VN"/>
        </w:rPr>
        <w:t>3. Không áp dụng thu lệ phí đăng ký giao dịch bảo đảm đối với các trường hợp sau đây:</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lang w:val="vi-VN"/>
        </w:rPr>
      </w:pPr>
      <w:r w:rsidRPr="004F0489">
        <w:rPr>
          <w:rFonts w:ascii="Arial" w:eastAsia="Times New Roman" w:hAnsi="Arial" w:cs="Arial"/>
          <w:color w:val="000000" w:themeColor="text1"/>
          <w:sz w:val="18"/>
          <w:szCs w:val="18"/>
          <w:lang w:val="vi-VN"/>
        </w:rPr>
        <w:t>a) Các cá nhân, hộ gia đình khi đăng ký giao dịch bảo đảm để vay vốn tại tổ chức tín dụng để sản xuất, kinh doanh thì không phải nộp lệ phí đăng ký giao dịch bảo đảm theo quy định tại Nghị định số 41/2010/NĐ-CP ngày 12 tháng 4 năm 2010 của Chính phủ về chính sách tín dụng phục vụ phát triển nông nghiệp, nông thôn;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b) Yêu cầu sửa chữa sai sót về nội dung đăng ký giao dịch bảo đảm, hợp đồng cho thuê tài chính do lỗi của Đăng ký viên;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c) Thông báo việc kê biên tài sản thi hành án, yêu cầu thay đổi nội dung đã thông báo việc kê biên tài sản thi hành án, xoá thông báo việc kê biên.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4. Không áp dụng thu phí cung cấp thông tin về giao dịch bảo đảm đối với các trường hợp sau đây:</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a) Tổ chức, cá nhân tự tra cứu thông tin về giao dịch bảo đảm, hợp đồng, tài sản kê biên trong Hệ thống đăng ký trực tuyến của Cục Đăng ký quốc gia giao dịch bảo đảm thuộc Bộ Tư pháp;</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b) Tổ chức, cá nhân yêu cầu cấp văn bản chứng nhận nội dung đăng ký trong trường hợp đăng ký trực tuyến giao dịch bảo đảm, hợp đồng, thông báo kê biên;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c) Chấp hành viên yêu cầu cung cấp thông tin về tài sản kê biên;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lastRenderedPageBreak/>
        <w:t>d) Điều tra viên, Kiểm sát viên và Thẩm phán yêu cầu cung cấp thông tin phục vụ cho hoạt động tố tụng.</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5. Không áp dụng thu phí đối với việc chỉnh lý thông tin về khách hàng thường xuyên sau khi đã được cấp mã số khách hàng thường xuyên.</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bookmarkStart w:id="4" w:name="dieu_2"/>
      <w:r w:rsidRPr="004F0489">
        <w:rPr>
          <w:rFonts w:ascii="Arial" w:eastAsia="Times New Roman" w:hAnsi="Arial" w:cs="Arial"/>
          <w:b/>
          <w:bCs/>
          <w:color w:val="000000" w:themeColor="text1"/>
          <w:sz w:val="18"/>
          <w:szCs w:val="18"/>
          <w:lang w:val="vi-VN"/>
        </w:rPr>
        <w:t>Điều 2. Thẩm quyền thu lệ phí đăng ký giao dịch bảo đảm, phí cung cấp thông tin về giao dịch bảo đảm và phí sử dụng dịch vụ khách hàng thường xuyên</w:t>
      </w:r>
      <w:bookmarkEnd w:id="4"/>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1. Cơ quan được thu lệ phí đăng ký giao dịch bảo đảm và phí cung cấp thông tin về giao dịch bảo đảm gồm: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a) Trung tâm Đăng ký giao dịch, tài sản của Cục Đăng ký quốc gia giao dịch bảo đảm thuộc Bộ Tư pháp (sau đây gọi là Trung tâm Đăng ký);</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b) Cơ quan đăng ký tàu biển Việt Nam;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c) Văn phòng đăng ký quyền sử dụng đất thuộc Sở Tài nguyên và Môi trường tỉnh, thành phố trực thuộc Trung ương; Văn phòng đăng ký quyền sử dụng đất thuộc Phòng Tài nguyên và Môi trường quận, huyện, thị xã, thành phố thuộc tỉnh (sau đây gọi là Văn phòng đăng ký quyền sử dụng đất);</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d) Uỷ ban nhân dân xã trong trường hợp được Văn phòng đăng ký quyền sử dụng đất cấp huyện ủy quyền thực hiện đăng ký thế chấp quyền sử dụng đất đối với hộ gia đình, cá nhân cư trú tại các xã ở xa huyện lỵ.</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2. Cục Đăng ký quốc gia giao dịch bảo đảm thuộc Bộ Tư pháp là cơ quan được thu phí sử dụng dịch vụ khách hàng thường xuyên tại Cục Đăng ký quốc gia giao dịch bảo đảm.</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bookmarkStart w:id="5" w:name="dieu_3"/>
      <w:r w:rsidRPr="004F0489">
        <w:rPr>
          <w:rFonts w:ascii="Arial" w:eastAsia="Times New Roman" w:hAnsi="Arial" w:cs="Arial"/>
          <w:b/>
          <w:bCs/>
          <w:color w:val="000000" w:themeColor="text1"/>
          <w:sz w:val="18"/>
          <w:szCs w:val="18"/>
          <w:lang w:val="vi-VN"/>
        </w:rPr>
        <w:t>Điều 3. Mức thu lệ phí đăng ký giao dịch bảo đảm, phí cung cấp thông tin về giao dịch bảo đảm và phí sử dụng dịch vụ khách hàng thường xuyên</w:t>
      </w:r>
      <w:bookmarkEnd w:id="5"/>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1. Mức thu lệ phí đăng ký giao dịch bảo đảm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a) Mức thu lệ phí đăng ký giao dịch bảo đảm áp dụng tại các Trung tâm Đăng ký và tại các Cơ quan đăng ký tàu biển Việt Nam được quy định như sau:</w:t>
      </w:r>
    </w:p>
    <w:tbl>
      <w:tblPr>
        <w:tblW w:w="9030" w:type="dxa"/>
        <w:jc w:val="center"/>
        <w:tblCellSpacing w:w="0" w:type="dxa"/>
        <w:tblCellMar>
          <w:left w:w="0" w:type="dxa"/>
          <w:right w:w="0" w:type="dxa"/>
        </w:tblCellMar>
        <w:tblLook w:val="04A0" w:firstRow="1" w:lastRow="0" w:firstColumn="1" w:lastColumn="0" w:noHBand="0" w:noVBand="1"/>
      </w:tblPr>
      <w:tblGrid>
        <w:gridCol w:w="630"/>
        <w:gridCol w:w="6641"/>
        <w:gridCol w:w="1759"/>
      </w:tblGrid>
      <w:tr w:rsidR="004F0489" w:rsidRPr="004F0489" w:rsidTr="004F0489">
        <w:trPr>
          <w:tblCellSpacing w:w="0" w:type="dxa"/>
          <w:jc w:val="center"/>
        </w:trPr>
        <w:tc>
          <w:tcPr>
            <w:tcW w:w="630"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b/>
                <w:bCs/>
                <w:color w:val="000000" w:themeColor="text1"/>
                <w:sz w:val="24"/>
                <w:szCs w:val="24"/>
              </w:rPr>
              <w:t>Số TT</w:t>
            </w:r>
          </w:p>
        </w:tc>
        <w:tc>
          <w:tcPr>
            <w:tcW w:w="664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b/>
                <w:bCs/>
                <w:color w:val="000000" w:themeColor="text1"/>
                <w:sz w:val="24"/>
                <w:szCs w:val="24"/>
              </w:rPr>
              <w:t>CÁC TRƯỜNG HỢP NỘP LỆ PHÍ</w:t>
            </w:r>
          </w:p>
        </w:tc>
        <w:tc>
          <w:tcPr>
            <w:tcW w:w="176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b/>
                <w:bCs/>
                <w:color w:val="000000" w:themeColor="text1"/>
                <w:sz w:val="24"/>
                <w:szCs w:val="24"/>
              </w:rPr>
              <w:t>MỨC THU</w:t>
            </w:r>
          </w:p>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b/>
                <w:bCs/>
                <w:color w:val="000000" w:themeColor="text1"/>
                <w:sz w:val="24"/>
                <w:szCs w:val="24"/>
              </w:rPr>
              <w:t>(đồng/hồ sơ)</w:t>
            </w:r>
          </w:p>
        </w:tc>
      </w:tr>
      <w:tr w:rsidR="004F0489" w:rsidRPr="004F0489" w:rsidTr="004F0489">
        <w:trPr>
          <w:tblCellSpacing w:w="0" w:type="dxa"/>
          <w:jc w:val="center"/>
        </w:trPr>
        <w:tc>
          <w:tcPr>
            <w:tcW w:w="630"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1</w:t>
            </w:r>
          </w:p>
        </w:tc>
        <w:tc>
          <w:tcPr>
            <w:tcW w:w="664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both"/>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Đăng ký giao dịch bảo đảm</w:t>
            </w:r>
          </w:p>
        </w:tc>
        <w:tc>
          <w:tcPr>
            <w:tcW w:w="176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80.000</w:t>
            </w:r>
          </w:p>
        </w:tc>
      </w:tr>
      <w:tr w:rsidR="004F0489" w:rsidRPr="004F0489" w:rsidTr="004F0489">
        <w:trPr>
          <w:tblCellSpacing w:w="0" w:type="dxa"/>
          <w:jc w:val="center"/>
        </w:trPr>
        <w:tc>
          <w:tcPr>
            <w:tcW w:w="630"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2</w:t>
            </w:r>
          </w:p>
        </w:tc>
        <w:tc>
          <w:tcPr>
            <w:tcW w:w="664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both"/>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Đăng ký văn bản thông báo về việc xử lý tài sản bảo đảm</w:t>
            </w:r>
          </w:p>
        </w:tc>
        <w:tc>
          <w:tcPr>
            <w:tcW w:w="176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70.000</w:t>
            </w:r>
          </w:p>
        </w:tc>
      </w:tr>
      <w:tr w:rsidR="004F0489" w:rsidRPr="004F0489" w:rsidTr="004F0489">
        <w:trPr>
          <w:tblCellSpacing w:w="0" w:type="dxa"/>
          <w:jc w:val="center"/>
        </w:trPr>
        <w:tc>
          <w:tcPr>
            <w:tcW w:w="630"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3</w:t>
            </w:r>
          </w:p>
        </w:tc>
        <w:tc>
          <w:tcPr>
            <w:tcW w:w="664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both"/>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Đăng ký thay đổi nội dung giao dịch bảo đảm đã đăng ký</w:t>
            </w:r>
          </w:p>
        </w:tc>
        <w:tc>
          <w:tcPr>
            <w:tcW w:w="176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60.000</w:t>
            </w:r>
          </w:p>
        </w:tc>
      </w:tr>
      <w:tr w:rsidR="004F0489" w:rsidRPr="004F0489" w:rsidTr="004F0489">
        <w:trPr>
          <w:tblCellSpacing w:w="0" w:type="dxa"/>
          <w:jc w:val="center"/>
        </w:trPr>
        <w:tc>
          <w:tcPr>
            <w:tcW w:w="630"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4</w:t>
            </w:r>
          </w:p>
        </w:tc>
        <w:tc>
          <w:tcPr>
            <w:tcW w:w="664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both"/>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Xoá đăng ký giao dịch bảo đảm</w:t>
            </w:r>
          </w:p>
        </w:tc>
        <w:tc>
          <w:tcPr>
            <w:tcW w:w="176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4F0489" w:rsidRPr="004F0489" w:rsidRDefault="004F0489" w:rsidP="004F0489">
            <w:pPr>
              <w:spacing w:before="120" w:after="120" w:line="234" w:lineRule="atLeast"/>
              <w:jc w:val="center"/>
              <w:rPr>
                <w:rFonts w:ascii="Times New Roman" w:eastAsia="Times New Roman" w:hAnsi="Times New Roman" w:cs="Times New Roman"/>
                <w:color w:val="000000" w:themeColor="text1"/>
                <w:sz w:val="24"/>
                <w:szCs w:val="24"/>
              </w:rPr>
            </w:pPr>
            <w:r w:rsidRPr="004F0489">
              <w:rPr>
                <w:rFonts w:ascii="Times New Roman" w:eastAsia="Times New Roman" w:hAnsi="Times New Roman" w:cs="Times New Roman"/>
                <w:color w:val="000000" w:themeColor="text1"/>
                <w:sz w:val="24"/>
                <w:szCs w:val="24"/>
              </w:rPr>
              <w:t>20.000</w:t>
            </w:r>
          </w:p>
        </w:tc>
      </w:tr>
    </w:tbl>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 </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b) Mức thu lệ phí đăng ký giao dịch bảo đảm áp dụng tại các cơ quan đăng ký giao dịch bảo đảm quy định tại điểm c và điểm d khoản 1 Điều 2 Thông tư này do Hội đồng nhân dân tỉnh, thành phố trực thuộc Trung ương quyết định cụ thể cho phù hợp với thực tế của địa phương, nhưng mức thu tối đa không vượt quá mức thu quy định tại điểm a khoản 1 Điều này.</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2. Mức thu phí cung cấp thông tin về giao dịch bảo đảm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 Mức thu phí cung cấp thông tin về giao dịch bảo đảm (bao gồm cả trường hợp cung cấp văn bản chứng nhận hoặc bản sao văn bản chứng nhận về giao dịch bảo đảm, hợp đồng, thông báo việc kê biên tài sản thi hành án) áp dụng tại các Trung tâm Đăng ký và các Cơ quan đăng ký tàu biển Việtc Nam là 30.000 đồng/trường hợp.</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 xml:space="preserve">b) Mức thu phí cung cấp thông tin về giao dịch bảo đảm áp dụng tại các cơ quan đăng ký giao dịch bảo đảm quy định tại điểm c và điểm d khoản 1 Điều 2 Thông tư này do Hội đồng nhân dân tỉnh, thành phố trực thuộc Trung ương quyết </w:t>
      </w:r>
      <w:r w:rsidRPr="004F0489">
        <w:rPr>
          <w:rFonts w:ascii="Arial" w:eastAsia="Times New Roman" w:hAnsi="Arial" w:cs="Arial"/>
          <w:color w:val="000000" w:themeColor="text1"/>
          <w:sz w:val="18"/>
          <w:szCs w:val="18"/>
        </w:rPr>
        <w:lastRenderedPageBreak/>
        <w:t>định cụ thể cho phù hợp với thực tế của địa phương, nhưng mức thu tối đa không vượt quá mức thu quy định tại điểm a khoản 2 Điều này.</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3. Mức thu phí sử dụng dịch vụ khách hàng thường xuyên tại Cục Đăng ký quốc gia giao dịch bảo đảm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 Mức thu phí sử dụng dịch vụ khách hàng thường xuyên tại Cục Đăng ký quốc gia giao dịch bảo đảm là 300.000 đồng/khách hàng/năm, trong đó năm thực hiện tính phí được tính từ ngày 01/01 đến hết ngày 31/12 năm dương lịch.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b) Trường hợp khách hàng đăng ký sử dụng dịch vụ khách hàng thường xuyên tại Cục Đăng ký quốc gia giao dịch bảo đảm sau ngày 01/7 hàng năm phải nộp 50% mức phí quy định tại điểm a khoản 3 Điều này.</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bookmarkStart w:id="6" w:name="dieu_4"/>
      <w:r w:rsidRPr="004F0489">
        <w:rPr>
          <w:rFonts w:ascii="Arial" w:eastAsia="Times New Roman" w:hAnsi="Arial" w:cs="Arial"/>
          <w:b/>
          <w:bCs/>
          <w:color w:val="000000" w:themeColor="text1"/>
          <w:sz w:val="18"/>
          <w:szCs w:val="18"/>
        </w:rPr>
        <w:t>Điều 4. Quản lý và sử dụng lệ phí đăng ký giao dịch bảo đảm, phí cung cấp thông tin về giao dịch bảo đảm và phí sử dụng dịch vụ khách hàng thường xuyên</w:t>
      </w:r>
      <w:bookmarkEnd w:id="6"/>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Lệ phí đăng ký giao dịch bảo đảm, phí cung cấp thông tin về giao dịch bảo đảm và phí sử dụng dịch vụ khách hàng thường xuyên là các khoản thu thuộc ngân sách nhà nước. Cơ quan thu phí, lệ phí thực hiện quản lý, sử dụng tiền phí, lệ phí thu được như sau:</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1. Đối với các Trung tâm Đăng ký</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 Được trích để lại 85% (tám mươi lăm phần trăm) trên tổng số tiền phí, lệ phí thu được trước khi nộp vào ngân sách nhà nước để thực hiện các công việc sau:</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a.1. Được sử dụng 80% (tám mươi phần trăm) trên tổng số tiền phí, lệ phí thu được để trang trải chi phí cho việc thực hiện công việc, dịch vụ thu phí, lệ phí theo chế độ quy định;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a.2. Trích nộp 5% (năm phần trăm) trên tổng số tiền phí, lệ phí thu được vào tài khoản của Cục Đăng ký quốc gia giao dịch bảo đảm để trang trải chi phí cho việc vận hành, duy trì hệ thống đăng ký giao dịch bảo đảm trực tuyến.</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b) Có trách nhiệm kê khai, nộp và quyết toán số tiền phí, lệ phí còn lại 15% (mười lăm phần trăm) vào ngân sách nhà nước theo chương, mục, tiểu mục tương ứng của Mục lục ngân sách nhà nước hiện hành.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2. Đối với các cơ quan đăng ký tàu biển Việt Nam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 Được trích để lại 50% (năm mươi phần trăm) trên tổng số tiền phí, lệ phí thu được trước khi nộp vào ngân sách nhà nước để trang trải chi phí cho việc thực hiện công việc, dịch vụ thu phí, lệ phí theo chế độ quy định.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b) Có trách nhiệm kê khai, nộp và quyết toán số tiền phí, lệ phí còn lại 50% (năm mươi phần trăm) vào ngân sách nhà nước theo chương, mục, tiểu mục tương ứng của Mục lục ngân sách nhà nước hiện hành.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3. Đối với các cơ quan thu phí, lệ phí theo quy định tại điểm c và điểm d khoản 1 Điều 2 Thông tư này, Hội đồng nhân dân tỉnh, thành phố trực thuộc Trung ương quyết định tỷ lệ phần trăm trích lại cho cơ quan thu phí, lệ phí để trang trải chi phí cho việc thực hiện công việc, dịch vụ thu phí, lệ phí phù hợp với thực tế của địa phương. Trường hợp nguồn thu lệ phí đăng ký giao dịch bảo đảm và phí cung cấp thông tin về giao dịch bảo đảm không đủ trang trải chi phí cho việc thực hiện công việc, dịch vụ thu phí, lệ phí theo chế độ quy định thì ngân sách địa phương sẽ đảm bảo kinh phí hoạt động cho cơ quan đăng ký giao dịch bảo đảm theo quy định của Luật Ngân sách nhà nước và các văn bản hướng dẫn thi hành. Các cơ quan thu phí, lệ phí theo quy định tại điểm c và điểm d khoản 1 Điều 2 Thông tư này có trách nhiệm kê khai, nộp và quyết toán số tiền phí, lệ phí còn lại (nếu có) vào ngân sách nhà nước theo chương, mục, tiểu mục tương ứng của Mục lục ngân sách nhà nước hiện hành.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4. Đối với Cục Đăng ký quốc gia giao dịch bảo đảm</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a) Được trích để lại 85% (tám mươi lăm phần trăm) trên tổng số tiền phí sử dụng dịch vụ khách hàng thường xuyên thu được trước khi nộp vào ngân sách để trang trải chi phí cho việc thực hiện công việc, dịch vụ thu phí sử dụng dịch vụ khách hàng thường xuyên theo chế độ quy định.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b) Được sử dụng 5% (năm phần trăm) tổng số tiền phí, lệ phí mà các Trung tâm Đăng ký thu được, trích nộp theo quy định tại tiết a.2 điểm a khoản 1 Điều này để trang trải chi phí cho việc vận hành, duy trì hệ thống đăng ký giao dịch bảo đảm trực tuyến và thực hiện quyết toán theo đúng chế độ quy định.</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c) Có trách nhiệm kê khai, nộp và quyết toán 15% (mười lăm phần trăm) trên tổng số tiền phí sử dụng dịch vụ khách hàng thường xuyên thu được vào ngân sách nhà nước theo chương, mục, tiểu mục tương ứng của Mục lục ngân sách nhà nước hiện hành.</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bookmarkStart w:id="7" w:name="dieu_5"/>
      <w:r w:rsidRPr="004F0489">
        <w:rPr>
          <w:rFonts w:ascii="Arial" w:eastAsia="Times New Roman" w:hAnsi="Arial" w:cs="Arial"/>
          <w:b/>
          <w:bCs/>
          <w:color w:val="000000" w:themeColor="text1"/>
          <w:sz w:val="18"/>
          <w:szCs w:val="18"/>
        </w:rPr>
        <w:lastRenderedPageBreak/>
        <w:t>Điều 5. Tổ chức thực hiện</w:t>
      </w:r>
      <w:bookmarkEnd w:id="7"/>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1. Thông tư này có hiệu lực thi hành kể từ ngày 02 tháng 07 năm 2011. Trường hợp Hội đồng nhân dân tỉnh, thành phố trực thuộc Trung ương chưa ban hành các quy định về phí, lệ phí theo thẩm quyền quy định tại Thông tư này thì các cơ quan thu phí, lệ phí quy định tại điểm c và điểm d khoản 1 Điều 2 được tạm thời áp dụng quy định tại điểm a khoản 1 Điều 3, điểm a khoản 2 Điều 3 và khoản 1 Điều 4 của Thông tư này cho đến khi có quy định của Hội đồng nhân dân tỉnh, thành phố trực thuộc Trung ương.</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2. Thông tư này thay thế Thông tư liên tịch số 03/2007/TTLT-BTC-BTP ngày 10/01/2007 và Thông tư liên tịch số 36/2008/TTLT-BTC-BTP ngày 29/4/2008 của liên Bộ Tài chính, Bộ Tư pháp sửa đổi, bổ sung Thông tư liên tịch số 03/2007/TTLT-BTC-BTP ngày 10/01/2007 của liên Bộ Tài chính, Bộ Tư pháp hướng dẫn chế độ thu, nộp, quản lý và sử dụng lệ phí đăng ký và phí cung cấp thông tin về giao dịch bảo đảm.</w:t>
      </w:r>
    </w:p>
    <w:p w:rsidR="004F0489" w:rsidRPr="004F0489" w:rsidRDefault="004F0489" w:rsidP="004F0489">
      <w:pPr>
        <w:shd w:val="clear" w:color="auto" w:fill="FFFFFF"/>
        <w:spacing w:after="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3. Các nội dung khác liên quan đến việc thu, nộp, quản lý, sử dụng, công khai chế độ thu lệ phí đăng ký giao dịch bảo đảm; phí cung cấp thông tin về giao dịch bảo đảm; phí sử dụng dịch vụ khách hàng thường xuyên tại Cục Đăng ký quốc gia giao dịch bảo đảm không đề cập tại Thông tư này được thực hiện theo hướng dẫn tại Thông tư số 63/2002/TT-BTC ngày 24/7/2002 của Bộ Tài chính hướng dẫn thực hiện các quy định pháp luật về phí và lệ phí; Thông tư số 45/2006/TT-BTC ngày 25/5/2006 của Bộ Tài chính sửa đổi, bổ sung Thông tư số 63/2002/TT-BTC .</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4. Trong quá trình thực hiện, nếu có vướng mắc đề nghị các cơ quan, tổ chức, cá nhân phản ánh kịp thời về Bộ Tài chính và Bộ Tư pháp để nghiên cứu, hướng dẫn bổ sung./.</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22"/>
        <w:gridCol w:w="4623"/>
      </w:tblGrid>
      <w:tr w:rsidR="004F0489" w:rsidRPr="004F0489" w:rsidTr="004F0489">
        <w:trPr>
          <w:tblCellSpacing w:w="0" w:type="dxa"/>
        </w:trPr>
        <w:tc>
          <w:tcPr>
            <w:tcW w:w="4622"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center"/>
              <w:rPr>
                <w:rFonts w:ascii="Arial" w:eastAsia="Times New Roman" w:hAnsi="Arial" w:cs="Arial"/>
                <w:color w:val="000000" w:themeColor="text1"/>
                <w:sz w:val="18"/>
                <w:szCs w:val="18"/>
              </w:rPr>
            </w:pPr>
            <w:r w:rsidRPr="004F0489">
              <w:rPr>
                <w:rFonts w:ascii="Arial" w:eastAsia="Times New Roman" w:hAnsi="Arial" w:cs="Arial"/>
                <w:b/>
                <w:bCs/>
                <w:color w:val="000000" w:themeColor="text1"/>
                <w:sz w:val="18"/>
                <w:szCs w:val="18"/>
              </w:rPr>
              <w:t>KT. BỘ TRƯỞNG BỘ TƯ PHÁP</w:t>
            </w:r>
            <w:r w:rsidRPr="004F0489">
              <w:rPr>
                <w:rFonts w:ascii="Arial" w:eastAsia="Times New Roman" w:hAnsi="Arial" w:cs="Arial"/>
                <w:b/>
                <w:bCs/>
                <w:color w:val="000000" w:themeColor="text1"/>
                <w:sz w:val="18"/>
                <w:szCs w:val="18"/>
              </w:rPr>
              <w:br/>
              <w:t>THỨ TRƯỞNG</w:t>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t>Đinh Trung Tụng</w:t>
            </w:r>
          </w:p>
        </w:tc>
        <w:tc>
          <w:tcPr>
            <w:tcW w:w="4623" w:type="dxa"/>
            <w:shd w:val="clear" w:color="auto" w:fill="FFFFFF"/>
            <w:tcMar>
              <w:top w:w="0" w:type="dxa"/>
              <w:left w:w="108" w:type="dxa"/>
              <w:bottom w:w="0" w:type="dxa"/>
              <w:right w:w="108" w:type="dxa"/>
            </w:tcMar>
            <w:hideMark/>
          </w:tcPr>
          <w:p w:rsidR="004F0489" w:rsidRPr="004F0489" w:rsidRDefault="004F0489" w:rsidP="004F0489">
            <w:pPr>
              <w:spacing w:before="120" w:after="120" w:line="234" w:lineRule="atLeast"/>
              <w:jc w:val="center"/>
              <w:rPr>
                <w:rFonts w:ascii="Arial" w:eastAsia="Times New Roman" w:hAnsi="Arial" w:cs="Arial"/>
                <w:color w:val="000000" w:themeColor="text1"/>
                <w:sz w:val="18"/>
                <w:szCs w:val="18"/>
              </w:rPr>
            </w:pPr>
            <w:r w:rsidRPr="004F0489">
              <w:rPr>
                <w:rFonts w:ascii="Arial" w:eastAsia="Times New Roman" w:hAnsi="Arial" w:cs="Arial"/>
                <w:b/>
                <w:bCs/>
                <w:color w:val="000000" w:themeColor="text1"/>
                <w:sz w:val="18"/>
                <w:szCs w:val="18"/>
              </w:rPr>
              <w:t>KT. BỘ TRƯỞNG BỘ TÀI CHÍNH</w:t>
            </w:r>
            <w:r w:rsidRPr="004F0489">
              <w:rPr>
                <w:rFonts w:ascii="Arial" w:eastAsia="Times New Roman" w:hAnsi="Arial" w:cs="Arial"/>
                <w:b/>
                <w:bCs/>
                <w:color w:val="000000" w:themeColor="text1"/>
                <w:sz w:val="18"/>
                <w:szCs w:val="18"/>
              </w:rPr>
              <w:br/>
              <w:t>THỨ TRƯỞNG</w:t>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r>
            <w:r w:rsidRPr="004F0489">
              <w:rPr>
                <w:rFonts w:ascii="Arial" w:eastAsia="Times New Roman" w:hAnsi="Arial" w:cs="Arial"/>
                <w:b/>
                <w:bCs/>
                <w:color w:val="000000" w:themeColor="text1"/>
                <w:sz w:val="18"/>
                <w:szCs w:val="18"/>
              </w:rPr>
              <w:br/>
              <w:t>Đỗ Hoàng Anh Tuấn</w:t>
            </w:r>
          </w:p>
        </w:tc>
      </w:tr>
    </w:tbl>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color w:val="000000" w:themeColor="text1"/>
          <w:sz w:val="18"/>
          <w:szCs w:val="18"/>
          <w:lang w:val="vi-VN"/>
        </w:rPr>
        <w:t> </w:t>
      </w:r>
    </w:p>
    <w:p w:rsidR="004F0489" w:rsidRPr="004F0489" w:rsidRDefault="004F0489" w:rsidP="004F0489">
      <w:pPr>
        <w:shd w:val="clear" w:color="auto" w:fill="FFFFFF"/>
        <w:spacing w:before="120" w:after="120" w:line="234" w:lineRule="atLeast"/>
        <w:jc w:val="both"/>
        <w:rPr>
          <w:rFonts w:ascii="Arial" w:eastAsia="Times New Roman" w:hAnsi="Arial" w:cs="Arial"/>
          <w:color w:val="000000" w:themeColor="text1"/>
          <w:sz w:val="18"/>
          <w:szCs w:val="18"/>
        </w:rPr>
      </w:pPr>
      <w:r w:rsidRPr="004F0489">
        <w:rPr>
          <w:rFonts w:ascii="Arial" w:eastAsia="Times New Roman" w:hAnsi="Arial" w:cs="Arial"/>
          <w:b/>
          <w:bCs/>
          <w:i/>
          <w:iCs/>
          <w:color w:val="000000" w:themeColor="text1"/>
          <w:sz w:val="18"/>
          <w:szCs w:val="18"/>
          <w:lang w:val="vi-VN"/>
        </w:rPr>
        <w:t>Nơi nhận:</w:t>
      </w:r>
    </w:p>
    <w:p w:rsidR="004F0489" w:rsidRPr="004F0489" w:rsidRDefault="004F0489" w:rsidP="004F0489">
      <w:pPr>
        <w:shd w:val="clear" w:color="auto" w:fill="FFFFFF"/>
        <w:spacing w:before="120" w:after="240" w:line="234" w:lineRule="atLeast"/>
        <w:rPr>
          <w:rFonts w:ascii="Arial" w:eastAsia="Times New Roman" w:hAnsi="Arial" w:cs="Arial"/>
          <w:color w:val="000000" w:themeColor="text1"/>
          <w:sz w:val="18"/>
          <w:szCs w:val="18"/>
        </w:rPr>
      </w:pPr>
      <w:r w:rsidRPr="004F0489">
        <w:rPr>
          <w:rFonts w:ascii="Arial" w:eastAsia="Times New Roman" w:hAnsi="Arial" w:cs="Arial"/>
          <w:color w:val="000000" w:themeColor="text1"/>
          <w:sz w:val="16"/>
          <w:szCs w:val="16"/>
          <w:lang w:val="vi-VN"/>
        </w:rPr>
        <w:t>- Văn phòng Trung ương và các Ban của Đảng;</w:t>
      </w:r>
      <w:r w:rsidRPr="004F0489">
        <w:rPr>
          <w:rFonts w:ascii="Arial" w:eastAsia="Times New Roman" w:hAnsi="Arial" w:cs="Arial"/>
          <w:color w:val="000000" w:themeColor="text1"/>
          <w:sz w:val="16"/>
          <w:szCs w:val="16"/>
          <w:lang w:val="vi-VN"/>
        </w:rPr>
        <w:br/>
        <w:t>- Văn phòng Quốc hội;</w:t>
      </w:r>
      <w:r w:rsidRPr="004F0489">
        <w:rPr>
          <w:rFonts w:ascii="Arial" w:eastAsia="Times New Roman" w:hAnsi="Arial" w:cs="Arial"/>
          <w:color w:val="000000" w:themeColor="text1"/>
          <w:sz w:val="16"/>
          <w:szCs w:val="16"/>
          <w:lang w:val="vi-VN"/>
        </w:rPr>
        <w:br/>
        <w:t>- Văn phòng Chủ tịch nước;</w:t>
      </w:r>
      <w:r w:rsidRPr="004F0489">
        <w:rPr>
          <w:rFonts w:ascii="Arial" w:eastAsia="Times New Roman" w:hAnsi="Arial" w:cs="Arial"/>
          <w:color w:val="000000" w:themeColor="text1"/>
          <w:sz w:val="16"/>
          <w:szCs w:val="16"/>
          <w:lang w:val="vi-VN"/>
        </w:rPr>
        <w:br/>
        <w:t>- Viện Kiểm sát nhân dân tối cao;</w:t>
      </w:r>
      <w:r w:rsidRPr="004F0489">
        <w:rPr>
          <w:rFonts w:ascii="Arial" w:eastAsia="Times New Roman" w:hAnsi="Arial" w:cs="Arial"/>
          <w:color w:val="000000" w:themeColor="text1"/>
          <w:sz w:val="16"/>
          <w:szCs w:val="16"/>
          <w:lang w:val="vi-VN"/>
        </w:rPr>
        <w:br/>
        <w:t>- Tòa án nhân dân tối cao;</w:t>
      </w:r>
      <w:r w:rsidRPr="004F0489">
        <w:rPr>
          <w:rFonts w:ascii="Arial" w:eastAsia="Times New Roman" w:hAnsi="Arial" w:cs="Arial"/>
          <w:color w:val="000000" w:themeColor="text1"/>
          <w:sz w:val="16"/>
          <w:szCs w:val="16"/>
          <w:lang w:val="vi-VN"/>
        </w:rPr>
        <w:br/>
        <w:t>- VP Ban CĐ TW về phòng, chống tham nhũng;</w:t>
      </w:r>
      <w:r w:rsidRPr="004F0489">
        <w:rPr>
          <w:rFonts w:ascii="Arial" w:eastAsia="Times New Roman" w:hAnsi="Arial" w:cs="Arial"/>
          <w:color w:val="000000" w:themeColor="text1"/>
          <w:sz w:val="16"/>
          <w:szCs w:val="16"/>
          <w:lang w:val="vi-VN"/>
        </w:rPr>
        <w:br/>
        <w:t>- Các Bộ, cơ quan ngang Bộ, cơ quan thuộc Chính phủ;</w:t>
      </w:r>
      <w:r w:rsidRPr="004F0489">
        <w:rPr>
          <w:rFonts w:ascii="Arial" w:eastAsia="Times New Roman" w:hAnsi="Arial" w:cs="Arial"/>
          <w:color w:val="000000" w:themeColor="text1"/>
          <w:sz w:val="16"/>
          <w:szCs w:val="16"/>
          <w:lang w:val="vi-VN"/>
        </w:rPr>
        <w:br/>
        <w:t>- Cơ quan Trung ương của các đoàn thể;</w:t>
      </w:r>
      <w:r w:rsidRPr="004F0489">
        <w:rPr>
          <w:rFonts w:ascii="Arial" w:eastAsia="Times New Roman" w:hAnsi="Arial" w:cs="Arial"/>
          <w:color w:val="000000" w:themeColor="text1"/>
          <w:sz w:val="16"/>
          <w:szCs w:val="16"/>
          <w:lang w:val="vi-VN"/>
        </w:rPr>
        <w:br/>
        <w:t>- Kiểm toán nhà nước;</w:t>
      </w:r>
      <w:r w:rsidRPr="004F0489">
        <w:rPr>
          <w:rFonts w:ascii="Arial" w:eastAsia="Times New Roman" w:hAnsi="Arial" w:cs="Arial"/>
          <w:color w:val="000000" w:themeColor="text1"/>
          <w:sz w:val="16"/>
          <w:szCs w:val="16"/>
          <w:lang w:val="vi-VN"/>
        </w:rPr>
        <w:br/>
        <w:t>- Công báo;</w:t>
      </w:r>
      <w:r w:rsidRPr="004F0489">
        <w:rPr>
          <w:rFonts w:ascii="Arial" w:eastAsia="Times New Roman" w:hAnsi="Arial" w:cs="Arial"/>
          <w:color w:val="000000" w:themeColor="text1"/>
          <w:sz w:val="16"/>
          <w:szCs w:val="16"/>
          <w:lang w:val="vi-VN"/>
        </w:rPr>
        <w:br/>
        <w:t>- Cổng thông tin điện tử Chính phủ;</w:t>
      </w:r>
      <w:r w:rsidRPr="004F0489">
        <w:rPr>
          <w:rFonts w:ascii="Arial" w:eastAsia="Times New Roman" w:hAnsi="Arial" w:cs="Arial"/>
          <w:color w:val="000000" w:themeColor="text1"/>
          <w:sz w:val="16"/>
          <w:szCs w:val="16"/>
          <w:lang w:val="vi-VN"/>
        </w:rPr>
        <w:br/>
        <w:t>- Uỷ ban nhân dân, Sở Tài chính, Sở Tư pháp,</w:t>
      </w:r>
      <w:r w:rsidRPr="004F0489">
        <w:rPr>
          <w:rFonts w:ascii="Arial" w:eastAsia="Times New Roman" w:hAnsi="Arial" w:cs="Arial"/>
          <w:color w:val="000000" w:themeColor="text1"/>
          <w:sz w:val="16"/>
          <w:szCs w:val="16"/>
          <w:lang w:val="vi-VN"/>
        </w:rPr>
        <w:br/>
        <w:t> Cục Thuế, Kho bạc nhà nước các tỉnh, thành phố trực thuộc Trung ương;</w:t>
      </w:r>
      <w:r w:rsidRPr="004F0489">
        <w:rPr>
          <w:rFonts w:ascii="Arial" w:eastAsia="Times New Roman" w:hAnsi="Arial" w:cs="Arial"/>
          <w:color w:val="000000" w:themeColor="text1"/>
          <w:sz w:val="16"/>
          <w:szCs w:val="16"/>
          <w:lang w:val="vi-VN"/>
        </w:rPr>
        <w:br/>
        <w:t>- Cục Kiểm tra văn bản (Bộ Tư pháp);</w:t>
      </w:r>
      <w:r w:rsidRPr="004F0489">
        <w:rPr>
          <w:rFonts w:ascii="Arial" w:eastAsia="Times New Roman" w:hAnsi="Arial" w:cs="Arial"/>
          <w:color w:val="000000" w:themeColor="text1"/>
          <w:sz w:val="16"/>
          <w:szCs w:val="16"/>
          <w:lang w:val="vi-VN"/>
        </w:rPr>
        <w:br/>
        <w:t>- Các đơn vị thuộc Bộ Tài chính, Bộ Tư pháp;</w:t>
      </w:r>
      <w:r w:rsidRPr="004F0489">
        <w:rPr>
          <w:rFonts w:ascii="Arial" w:eastAsia="Times New Roman" w:hAnsi="Arial" w:cs="Arial"/>
          <w:color w:val="000000" w:themeColor="text1"/>
          <w:sz w:val="16"/>
          <w:szCs w:val="16"/>
          <w:lang w:val="vi-VN"/>
        </w:rPr>
        <w:br/>
        <w:t>- Trang tin điện tử của Bộ Tài chính, Bộ Tư pháp;</w:t>
      </w:r>
      <w:r w:rsidRPr="004F0489">
        <w:rPr>
          <w:rFonts w:ascii="Arial" w:eastAsia="Times New Roman" w:hAnsi="Arial" w:cs="Arial"/>
          <w:color w:val="000000" w:themeColor="text1"/>
          <w:sz w:val="16"/>
          <w:szCs w:val="16"/>
          <w:lang w:val="vi-VN"/>
        </w:rPr>
        <w:br/>
        <w:t>- Lưu: Bộ Tài chính (VT, CST); Bộ Tư pháp (VT, Cục ĐKQGGDBĐ).</w:t>
      </w:r>
    </w:p>
    <w:p w:rsidR="004F6879" w:rsidRPr="004F0489" w:rsidRDefault="004F6879" w:rsidP="004F0489">
      <w:pPr>
        <w:rPr>
          <w:color w:val="000000" w:themeColor="text1"/>
        </w:rPr>
      </w:pPr>
    </w:p>
    <w:p w:rsidR="004F0489" w:rsidRPr="004F0489" w:rsidRDefault="004F0489" w:rsidP="004F0489">
      <w:pPr>
        <w:rPr>
          <w:color w:val="000000" w:themeColor="text1"/>
        </w:rPr>
      </w:pPr>
    </w:p>
    <w:p w:rsidR="004F0489" w:rsidRPr="004F0489" w:rsidRDefault="004F0489" w:rsidP="004F0489">
      <w:pPr>
        <w:rPr>
          <w:color w:val="000000" w:themeColor="text1"/>
        </w:rPr>
      </w:pPr>
    </w:p>
    <w:p w:rsidR="004F0489" w:rsidRPr="004F0489" w:rsidRDefault="004F0489" w:rsidP="004F0489">
      <w:pPr>
        <w:rPr>
          <w:color w:val="000000" w:themeColor="text1"/>
        </w:rPr>
      </w:pPr>
    </w:p>
    <w:p w:rsidR="004F0489" w:rsidRPr="004F0489" w:rsidRDefault="004F0489" w:rsidP="004F0489">
      <w:pPr>
        <w:rPr>
          <w:color w:val="000000" w:themeColor="text1"/>
        </w:rPr>
      </w:pPr>
    </w:p>
    <w:p w:rsidR="004F0489" w:rsidRPr="004F0489" w:rsidRDefault="004F0489" w:rsidP="004F0489">
      <w:pPr>
        <w:rPr>
          <w:color w:val="000000" w:themeColor="text1"/>
        </w:rPr>
      </w:pPr>
    </w:p>
    <w:bookmarkEnd w:id="0"/>
    <w:p w:rsidR="004F0489" w:rsidRPr="004F0489" w:rsidRDefault="004F0489" w:rsidP="004F0489">
      <w:pPr>
        <w:rPr>
          <w:color w:val="000000" w:themeColor="text1"/>
        </w:rPr>
      </w:pPr>
    </w:p>
    <w:sectPr w:rsidR="004F0489" w:rsidRPr="004F0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89"/>
    <w:rsid w:val="004F0489"/>
    <w:rsid w:val="004F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2EA3E-6E65-47D9-B803-1CD1837B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4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0489"/>
    <w:rPr>
      <w:color w:val="0000FF"/>
      <w:u w:val="single"/>
    </w:rPr>
  </w:style>
  <w:style w:type="character" w:styleId="Strong">
    <w:name w:val="Strong"/>
    <w:basedOn w:val="DefaultParagraphFont"/>
    <w:uiPriority w:val="22"/>
    <w:qFormat/>
    <w:rsid w:val="004F0489"/>
    <w:rPr>
      <w:b/>
      <w:bCs/>
    </w:rPr>
  </w:style>
  <w:style w:type="character" w:styleId="Emphasis">
    <w:name w:val="Emphasis"/>
    <w:basedOn w:val="DefaultParagraphFont"/>
    <w:uiPriority w:val="20"/>
    <w:qFormat/>
    <w:rsid w:val="004F0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8348">
      <w:bodyDiv w:val="1"/>
      <w:marLeft w:val="0"/>
      <w:marRight w:val="0"/>
      <w:marTop w:val="0"/>
      <w:marBottom w:val="0"/>
      <w:divBdr>
        <w:top w:val="none" w:sz="0" w:space="0" w:color="auto"/>
        <w:left w:val="none" w:sz="0" w:space="0" w:color="auto"/>
        <w:bottom w:val="none" w:sz="0" w:space="0" w:color="auto"/>
        <w:right w:val="none" w:sz="0" w:space="0" w:color="auto"/>
      </w:divBdr>
    </w:div>
    <w:div w:id="490489560">
      <w:bodyDiv w:val="1"/>
      <w:marLeft w:val="0"/>
      <w:marRight w:val="0"/>
      <w:marTop w:val="0"/>
      <w:marBottom w:val="0"/>
      <w:divBdr>
        <w:top w:val="none" w:sz="0" w:space="0" w:color="auto"/>
        <w:left w:val="none" w:sz="0" w:space="0" w:color="auto"/>
        <w:bottom w:val="none" w:sz="0" w:space="0" w:color="auto"/>
        <w:right w:val="none" w:sz="0" w:space="0" w:color="auto"/>
      </w:divBdr>
    </w:div>
    <w:div w:id="561062864">
      <w:bodyDiv w:val="1"/>
      <w:marLeft w:val="0"/>
      <w:marRight w:val="0"/>
      <w:marTop w:val="0"/>
      <w:marBottom w:val="0"/>
      <w:divBdr>
        <w:top w:val="none" w:sz="0" w:space="0" w:color="auto"/>
        <w:left w:val="none" w:sz="0" w:space="0" w:color="auto"/>
        <w:bottom w:val="none" w:sz="0" w:space="0" w:color="auto"/>
        <w:right w:val="none" w:sz="0" w:space="0" w:color="auto"/>
      </w:divBdr>
    </w:div>
    <w:div w:id="1168402368">
      <w:bodyDiv w:val="1"/>
      <w:marLeft w:val="0"/>
      <w:marRight w:val="0"/>
      <w:marTop w:val="0"/>
      <w:marBottom w:val="0"/>
      <w:divBdr>
        <w:top w:val="none" w:sz="0" w:space="0" w:color="auto"/>
        <w:left w:val="none" w:sz="0" w:space="0" w:color="auto"/>
        <w:bottom w:val="none" w:sz="0" w:space="0" w:color="auto"/>
        <w:right w:val="none" w:sz="0" w:space="0" w:color="auto"/>
      </w:divBdr>
    </w:div>
    <w:div w:id="1504664958">
      <w:bodyDiv w:val="1"/>
      <w:marLeft w:val="0"/>
      <w:marRight w:val="0"/>
      <w:marTop w:val="0"/>
      <w:marBottom w:val="0"/>
      <w:divBdr>
        <w:top w:val="none" w:sz="0" w:space="0" w:color="auto"/>
        <w:left w:val="none" w:sz="0" w:space="0" w:color="auto"/>
        <w:bottom w:val="none" w:sz="0" w:space="0" w:color="auto"/>
        <w:right w:val="none" w:sz="0" w:space="0" w:color="auto"/>
      </w:divBdr>
    </w:div>
    <w:div w:id="1542211057">
      <w:bodyDiv w:val="1"/>
      <w:marLeft w:val="0"/>
      <w:marRight w:val="0"/>
      <w:marTop w:val="0"/>
      <w:marBottom w:val="0"/>
      <w:divBdr>
        <w:top w:val="none" w:sz="0" w:space="0" w:color="auto"/>
        <w:left w:val="none" w:sz="0" w:space="0" w:color="auto"/>
        <w:bottom w:val="none" w:sz="0" w:space="0" w:color="auto"/>
        <w:right w:val="none" w:sz="0" w:space="0" w:color="auto"/>
      </w:divBdr>
    </w:div>
    <w:div w:id="1596668082">
      <w:bodyDiv w:val="1"/>
      <w:marLeft w:val="0"/>
      <w:marRight w:val="0"/>
      <w:marTop w:val="0"/>
      <w:marBottom w:val="0"/>
      <w:divBdr>
        <w:top w:val="none" w:sz="0" w:space="0" w:color="auto"/>
        <w:left w:val="none" w:sz="0" w:space="0" w:color="auto"/>
        <w:bottom w:val="none" w:sz="0" w:space="0" w:color="auto"/>
        <w:right w:val="none" w:sz="0" w:space="0" w:color="auto"/>
      </w:divBdr>
    </w:div>
    <w:div w:id="1712999351">
      <w:bodyDiv w:val="1"/>
      <w:marLeft w:val="0"/>
      <w:marRight w:val="0"/>
      <w:marTop w:val="0"/>
      <w:marBottom w:val="0"/>
      <w:divBdr>
        <w:top w:val="none" w:sz="0" w:space="0" w:color="auto"/>
        <w:left w:val="none" w:sz="0" w:space="0" w:color="auto"/>
        <w:bottom w:val="none" w:sz="0" w:space="0" w:color="auto"/>
        <w:right w:val="none" w:sz="0" w:space="0" w:color="auto"/>
      </w:divBdr>
    </w:div>
    <w:div w:id="1819179908">
      <w:bodyDiv w:val="1"/>
      <w:marLeft w:val="0"/>
      <w:marRight w:val="0"/>
      <w:marTop w:val="0"/>
      <w:marBottom w:val="0"/>
      <w:divBdr>
        <w:top w:val="none" w:sz="0" w:space="0" w:color="auto"/>
        <w:left w:val="none" w:sz="0" w:space="0" w:color="auto"/>
        <w:bottom w:val="none" w:sz="0" w:space="0" w:color="auto"/>
        <w:right w:val="none" w:sz="0" w:space="0" w:color="auto"/>
      </w:divBdr>
    </w:div>
    <w:div w:id="1972861854">
      <w:bodyDiv w:val="1"/>
      <w:marLeft w:val="0"/>
      <w:marRight w:val="0"/>
      <w:marTop w:val="0"/>
      <w:marBottom w:val="0"/>
      <w:divBdr>
        <w:top w:val="none" w:sz="0" w:space="0" w:color="auto"/>
        <w:left w:val="none" w:sz="0" w:space="0" w:color="auto"/>
        <w:bottom w:val="none" w:sz="0" w:space="0" w:color="auto"/>
        <w:right w:val="none" w:sz="0" w:space="0" w:color="auto"/>
      </w:divBdr>
    </w:div>
    <w:div w:id="20116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1960</Words>
  <Characters>11172</Characters>
  <Application>Microsoft Office Word</Application>
  <DocSecurity>0</DocSecurity>
  <Lines>93</Lines>
  <Paragraphs>26</Paragraphs>
  <ScaleCrop>false</ScaleCrop>
  <Company>HP</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2025-01-08T14:51:00Z</dcterms:created>
  <dcterms:modified xsi:type="dcterms:W3CDTF">2025-01-08T14:56:00Z</dcterms:modified>
</cp:coreProperties>
</file>