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4"/>
        <w:gridCol w:w="5580"/>
      </w:tblGrid>
      <w:tr w:rsidR="00D6522B" w14:paraId="0F52BDC2" w14:textId="77777777" w:rsidTr="00D6522B">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76495" w14:textId="77777777" w:rsidR="00D6522B" w:rsidRDefault="00D6522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HỘI ĐỒNG THẨM PHÁN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A6C89" w14:textId="77777777" w:rsidR="00D6522B" w:rsidRDefault="00D652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6522B" w14:paraId="6C6296C8" w14:textId="77777777" w:rsidTr="00D6522B">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663DC" w14:textId="77777777" w:rsidR="00D6522B" w:rsidRDefault="00D6522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04/2024/NQ-HĐTP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1EB74" w14:textId="77777777" w:rsidR="00D6522B" w:rsidRDefault="00D6522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12 tháng 6 năm 2024</w:t>
            </w:r>
          </w:p>
        </w:tc>
      </w:tr>
    </w:tbl>
    <w:p w14:paraId="1D3F681A" w14:textId="77777777" w:rsidR="00D6522B" w:rsidRDefault="00D6522B" w:rsidP="00D6522B">
      <w:pPr>
        <w:pStyle w:val="NormalWeb"/>
        <w:spacing w:after="90" w:afterAutospacing="0" w:line="345" w:lineRule="atLeast"/>
        <w:jc w:val="both"/>
        <w:rPr>
          <w:rFonts w:ascii="Arial" w:hAnsi="Arial" w:cs="Arial"/>
          <w:color w:val="000000"/>
          <w:sz w:val="21"/>
          <w:szCs w:val="21"/>
        </w:rPr>
      </w:pPr>
    </w:p>
    <w:p w14:paraId="24896139" w14:textId="77777777" w:rsidR="00D6522B" w:rsidRDefault="00D6522B" w:rsidP="00D652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45638EE4" w14:textId="77777777" w:rsidR="00D6522B" w:rsidRDefault="00D6522B" w:rsidP="00D652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ÁP DỤNG MỘT SỐ QUY ĐỊNH CỦA BỘ LUẬT HÌNH SỰ VỀ TRUY CỨU TRÁCH NHIỆM HÌNH SỰ ĐỐI VỚI HÀNH VI LIÊN QUAN ĐẾN KHAI THÁC, MUA BÁN, VẬN CHUYỂN TRÁI PHÉP THỦY SẢN</w:t>
      </w:r>
    </w:p>
    <w:p w14:paraId="176D89BC" w14:textId="77777777" w:rsidR="00D6522B" w:rsidRDefault="00D6522B" w:rsidP="00D652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6049C105"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Tòa án nhân dân</w:t>
        </w:r>
      </w:hyperlink>
      <w:r>
        <w:rPr>
          <w:rStyle w:val="Emphasis"/>
          <w:rFonts w:ascii="Arial" w:hAnsi="Arial" w:cs="Arial"/>
          <w:color w:val="000000"/>
          <w:sz w:val="21"/>
          <w:szCs w:val="21"/>
        </w:rPr>
        <w:t> ngày 24 tháng 11 năm 2014;</w:t>
      </w:r>
    </w:p>
    <w:p w14:paraId="087EC0D9"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và thống nhất một số quy định của </w:t>
      </w:r>
      <w:hyperlink r:id="rId8" w:tgtFrame="_blank" w:history="1">
        <w:r>
          <w:rPr>
            <w:rStyle w:val="Hyperlink"/>
            <w:rFonts w:ascii="Arial" w:hAnsi="Arial" w:cs="Arial"/>
            <w:i/>
            <w:iCs/>
            <w:color w:val="135ECD"/>
            <w:sz w:val="21"/>
            <w:szCs w:val="21"/>
          </w:rPr>
          <w:t>Bộ luật Hình sự số 100/2015/QH13</w:t>
        </w:r>
      </w:hyperlink>
      <w:r>
        <w:rPr>
          <w:rStyle w:val="Emphasis"/>
          <w:rFonts w:ascii="Arial" w:hAnsi="Arial" w:cs="Arial"/>
          <w:color w:val="000000"/>
          <w:sz w:val="21"/>
          <w:szCs w:val="21"/>
        </w:rPr>
        <w:t> được sửa đổi, bổ sung một số điều theo </w:t>
      </w:r>
      <w:hyperlink r:id="rId9" w:history="1">
        <w:r>
          <w:rPr>
            <w:rStyle w:val="Hyperlink"/>
            <w:rFonts w:ascii="Arial" w:hAnsi="Arial" w:cs="Arial"/>
            <w:i/>
            <w:iCs/>
            <w:color w:val="135ECD"/>
            <w:sz w:val="21"/>
            <w:szCs w:val="21"/>
          </w:rPr>
          <w:t>Luật số 12/2017/QH14</w:t>
        </w:r>
      </w:hyperlink>
      <w:r>
        <w:rPr>
          <w:rStyle w:val="Emphasis"/>
          <w:rFonts w:ascii="Arial" w:hAnsi="Arial" w:cs="Arial"/>
          <w:color w:val="000000"/>
          <w:sz w:val="21"/>
          <w:szCs w:val="21"/>
        </w:rPr>
        <w:t> về truy cứu trách nhiệm hình sự đối với hành vi liên quan đến khai thác, mua bán, vận chuyển trái phép thủy sản;</w:t>
      </w:r>
    </w:p>
    <w:p w14:paraId="01B90B1E"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của Viện trưởng Viện kiểm sát nhân dân tối cao và Bộ trưởng Bộ Tư pháp,</w:t>
      </w:r>
    </w:p>
    <w:p w14:paraId="32EC3FE9" w14:textId="77777777" w:rsidR="00D6522B" w:rsidRDefault="00D6522B" w:rsidP="00D652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2C5CA876"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9B7870A"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áp dụng một số quy định tại các điều 347, 348 và 349 về hành vi xuất cảnh, nhập cảnh để khai thác thủy sản trái phép; các điều 242, 244 về hành vi liên quan đến bảo vệ nguồn lợi thủy sản; Điều 287 về hành vi cản trở hoặc gây rối loạn hoạt động của mạng máy tính, mạng viễn thông để khai thác thủy sản trái phép; các điều 188, 189, 198 và 341 về hành vi xâm phạm trong lĩnh vực thương mại thủy sản của Bộ luật Hình sự số 100/2015/QH13 được sửa đổi, bổ sung một số điều theo Luật số 12/2017/QH14 (sau đây gọi là Bộ luật Hình sự).</w:t>
      </w:r>
    </w:p>
    <w:p w14:paraId="10C4721D"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Về một số từ ngữ</w:t>
      </w:r>
    </w:p>
    <w:p w14:paraId="5B5A702A"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quyết này, các từ ngữ dưới đây được hiểu như sau:</w:t>
      </w:r>
    </w:p>
    <w:p w14:paraId="378DECDA"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Khai thác thủy sản trái phép</w:t>
      </w:r>
      <w:r>
        <w:rPr>
          <w:rFonts w:ascii="Arial" w:hAnsi="Arial" w:cs="Arial"/>
          <w:color w:val="000000"/>
          <w:sz w:val="21"/>
          <w:szCs w:val="21"/>
        </w:rPr>
        <w:t> là thực hiện một hoặc nhiều hành vi khai thác thủy sản bất hợp pháp quy định tại khoản 1 Điều 60 của </w:t>
      </w:r>
      <w:hyperlink r:id="rId10" w:tgtFrame="_blank" w:history="1">
        <w:r>
          <w:rPr>
            <w:rStyle w:val="Hyperlink"/>
            <w:rFonts w:ascii="Arial" w:hAnsi="Arial" w:cs="Arial"/>
            <w:color w:val="135ECD"/>
            <w:sz w:val="21"/>
            <w:szCs w:val="21"/>
          </w:rPr>
          <w:t>Luật Thủy sản</w:t>
        </w:r>
      </w:hyperlink>
      <w:r>
        <w:rPr>
          <w:rFonts w:ascii="Arial" w:hAnsi="Arial" w:cs="Arial"/>
          <w:color w:val="000000"/>
          <w:sz w:val="21"/>
          <w:szCs w:val="21"/>
        </w:rPr>
        <w:t>, bao gồm:</w:t>
      </w:r>
    </w:p>
    <w:p w14:paraId="5AC428C2"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Khai thác thủy sản không có giấy phép;</w:t>
      </w:r>
    </w:p>
    <w:p w14:paraId="325C71D8"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thủy sản trong vùng cấm khai thác, trong thời gian cấm khai thác; khai thác, vận chuyển thủy sản cấm khai thác; khai thác loài thủy sản có kích thước nhỏ hơn quy định; sử dụng nghề, ngư cụ khai thác bị cấm;</w:t>
      </w:r>
    </w:p>
    <w:p w14:paraId="1F883D5E"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trái phép loài thủy sản thuộc Danh mục loài thủy sản nguy cấp, quý, hiếm;</w:t>
      </w:r>
    </w:p>
    <w:p w14:paraId="48A70714"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thủy sản trái phép ở ngoài vùng biển Việt Nam;</w:t>
      </w:r>
    </w:p>
    <w:p w14:paraId="4AC7727E"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Khai thác thủy sản vượt sản lượng theo loài, khai thác sai vùng, quá hạn ghi trong giấy phép;</w:t>
      </w:r>
    </w:p>
    <w:p w14:paraId="608018A6"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Che giấu, giả mạo hoặc hủy chứng cứ vi phạm quy định liên quan đến khai thác, bảo vệ nguồn lợi thủy sản;</w:t>
      </w:r>
    </w:p>
    <w:p w14:paraId="2D3E8015"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Ngăn cản, chống đối người có thẩm quyền thực hiện kiểm tra, giám sát sự tuân thủ các quy định về khai thác và bảo vệ nguồn lợi thủy sản;</w:t>
      </w:r>
    </w:p>
    <w:p w14:paraId="51C46F0F"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Chuyển tải hoặc hỗ trợ cho tàu đã được xác định có hành vi khai thác thủy sản bất hợp pháp, trừ trường hợp bất khả kháng;</w:t>
      </w:r>
    </w:p>
    <w:p w14:paraId="77E56C96"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trang bị hoặc trang bị không đầy đủ hoặc không vận hành thiết bị thông tin liên lạc và thiết bị giám sát hành trình theo quy định;</w:t>
      </w:r>
    </w:p>
    <w:p w14:paraId="3783A40A"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Không có Giấy chứng nhận cơ sở đủ điều kiện an toàn thực phẩm theo quy định;</w:t>
      </w:r>
    </w:p>
    <w:p w14:paraId="5038DCB0"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Tạm nhập, tái xuất, tạm xuất, tái nhập, chuyển khẩu, quá cảnh qua lãnh thổ Việt Nam thủy sản, sản phẩm thủy sản có nguồn gốc từ khai thác thủy sản bất hợp pháp;</w:t>
      </w:r>
    </w:p>
    <w:p w14:paraId="30772999"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Không ghi, ghi không đầy đủ, không đúng, không nộp nhật ký khai thác thủy sản, không báo cáo theo quy định;</w:t>
      </w:r>
    </w:p>
    <w:p w14:paraId="6683AE5E"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Sử dụng tàu cá không quốc tịch hoặc mang quốc tịch của quốc gia không phải là thành viên để khai thác thủy sản trái phép trong vùng biển quốc tế thuộc thẩm quyền quản lý của tổ chức quản lý nghề cá khu vực;</w:t>
      </w:r>
    </w:p>
    <w:p w14:paraId="64C5398B"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Sử dụng tàu cá để khai thác thủy sản không theo quy định về khai thác và bảo vệ nguồn lợi thủy sản trong vùng biển quốc tế không thuộc thẩm quyền quản lý của tổ chức quản lý nghề cá khu vực.</w:t>
      </w:r>
    </w:p>
    <w:p w14:paraId="7D3D6AD3"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Tàu cá</w:t>
      </w:r>
      <w:r>
        <w:rPr>
          <w:rFonts w:ascii="Arial" w:hAnsi="Arial" w:cs="Arial"/>
          <w:color w:val="000000"/>
          <w:sz w:val="21"/>
          <w:szCs w:val="21"/>
        </w:rPr>
        <w:t> bao gồm tàu khai thác nguồn lợi thủy sản, tàu hậu cần khai thác nguồn lợi thủy sản quy định tại khoản 20 Điều 3 của Luật Thủy sản và tàu thuyền khác quy định tại khoản 1 Điều 4 của </w:t>
      </w:r>
      <w:hyperlink r:id="rId11" w:tgtFrame="_blank" w:history="1">
        <w:r>
          <w:rPr>
            <w:rStyle w:val="Hyperlink"/>
            <w:rFonts w:ascii="Arial" w:hAnsi="Arial" w:cs="Arial"/>
            <w:color w:val="135ECD"/>
            <w:sz w:val="21"/>
            <w:szCs w:val="21"/>
          </w:rPr>
          <w:t>Luật Hàng hải</w:t>
        </w:r>
      </w:hyperlink>
      <w:r>
        <w:rPr>
          <w:rFonts w:ascii="Arial" w:hAnsi="Arial" w:cs="Arial"/>
          <w:color w:val="000000"/>
          <w:sz w:val="21"/>
          <w:szCs w:val="21"/>
        </w:rPr>
        <w:t> phục vụ khai thác thủy sản.</w:t>
      </w:r>
    </w:p>
    <w:p w14:paraId="38381EFB"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Ngoài vùng biển Việt Nam</w:t>
      </w:r>
      <w:r>
        <w:rPr>
          <w:rFonts w:ascii="Arial" w:hAnsi="Arial" w:cs="Arial"/>
          <w:color w:val="000000"/>
          <w:sz w:val="21"/>
          <w:szCs w:val="21"/>
        </w:rPr>
        <w:t> là vùng biển không thuộc vùng biển Việt Nam quy định tại khoản 1 Điều 3 của </w:t>
      </w:r>
      <w:hyperlink r:id="rId12" w:tgtFrame="_blank" w:history="1">
        <w:r>
          <w:rPr>
            <w:rStyle w:val="Hyperlink"/>
            <w:rFonts w:ascii="Arial" w:hAnsi="Arial" w:cs="Arial"/>
            <w:color w:val="135ECD"/>
            <w:sz w:val="21"/>
            <w:szCs w:val="21"/>
          </w:rPr>
          <w:t>Luật Biển Việt Nam</w:t>
        </w:r>
      </w:hyperlink>
      <w:r>
        <w:rPr>
          <w:rFonts w:ascii="Arial" w:hAnsi="Arial" w:cs="Arial"/>
          <w:color w:val="000000"/>
          <w:sz w:val="21"/>
          <w:szCs w:val="21"/>
        </w:rPr>
        <w:t> và không thuộc vùng biển khác mà Việt Nam được quyền khai thác nguồn lợi thủy sản theo quy định của Luật Thủy sản.</w:t>
      </w:r>
    </w:p>
    <w:p w14:paraId="5C09669D"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Truy cứu trách nhiệm hình sự đối với hành vi xuất cảnh đi khai thác thủy sản trái phép ở ngoài vùng biển Việt Nam</w:t>
      </w:r>
    </w:p>
    <w:p w14:paraId="6FB2704C"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chỉ huy cao nhất trên tàu cá không làm thủ tục xuất cảnh cho tàu cá, thành viên tàu cá và ngư dân theo quy định hoặc có làm thủ tục xuất cảnh nhưng sau khi xuất cảnh đã tẩy, xóa số đăng ký tàu cá hoặc viết số đăng ký tàu cá không đúng với thông tin do cơ quan có thẩm quyền cấp để thành viên tàu cá, ngư dân khai thác thủy sản trái phép ở ngoài vùng biển Việt Nam thì bị truy cứu trách nhiệm hình sự về tội vi phạm quy định về xuất cảnh quy định tại Điều 347 của Bộ luật Hình sự, nếu có đủ yếu tố cấu thành tội phạm.</w:t>
      </w:r>
    </w:p>
    <w:p w14:paraId="2B8AF697"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Truy cứu trách nhiệm hình sự đối với hành vi tổ chức, môi giới cho người khác xuất cảnh, nhập cảnh để đưa tàu cá, ngư dân khai thác thủy sản trái phép ở ngoài vùng biển Việt Nam</w:t>
      </w:r>
    </w:p>
    <w:p w14:paraId="0D22D6C0"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tổ chức, môi giới cho người khác xuất cảnh, nhập cảnh để đưa tàu cá, ngư dân khai thác thủy sản trái phép ở ngoài vùng biển Việt Nam khi thuộc một trong các trường hợp sau đây thì bị truy cứu trách nhiệm hình sự về tội tổ chức, môi giới cho người khác xuất cảnh, nhập cảnh trái phép quy định tại Điều 348 của Bộ luật Hình sự, nếu có đủ yếu tố cấu thành tội phạm:</w:t>
      </w:r>
    </w:p>
    <w:p w14:paraId="0C9539B4"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làm thủ tục xuất cảnh, nhập cảnh theo quy định;</w:t>
      </w:r>
    </w:p>
    <w:p w14:paraId="53D35979"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thủ tục xuất cảnh, nhập cảnh để khai thác thủy sản không đúng khu vực được cơ quan có thẩm quyền cấp phép, chấp thuận hoặc giấy phép khai thác hết hạn.</w:t>
      </w:r>
    </w:p>
    <w:p w14:paraId="6E1C61CD"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Tổ chức cho người khác xuất cảnh, nhập cảnh để đưa tàu cá, ngư dân khai thác thủy sản trái phép ở ngoài vùng biển Việt Nam</w:t>
      </w:r>
      <w:r>
        <w:rPr>
          <w:rFonts w:ascii="Arial" w:hAnsi="Arial" w:cs="Arial"/>
          <w:color w:val="000000"/>
          <w:sz w:val="21"/>
          <w:szCs w:val="21"/>
        </w:rPr>
        <w:t> hướng dẫn tại khoản 1 Điều này là thực hiện một trong các hành vi bố trí, sắp xếp, điều hành con người, phương tiện để đưa tàu cá, ngư dân khai thác thủy sản trái phép ở ngoài vùng biển Việt Nam khi thuộc một trong các trường hợp sau đây:</w:t>
      </w:r>
    </w:p>
    <w:p w14:paraId="51E0F66C"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huy, phân công, điều hành không làm thủ tục xuất cảnh theo quy định hoặc có làm thủ tục xuất cảnh nhưng sau khi xuất cảnh đã tẩy, xóa số đăng ký tàu cá hoặc viết số đăng ký tàu cá không đúng với thông tin do cơ quan có thẩm quyền cấp;</w:t>
      </w:r>
    </w:p>
    <w:p w14:paraId="3E5A7E4D"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Chỉ huy, phân công, điều hành đưa tàu cá, ngư dân khai thác thủy sản trái phép ở ngoài vùng biển Việt Nam;</w:t>
      </w:r>
    </w:p>
    <w:p w14:paraId="30AC2D7C"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huy, phân công, điều hành sử dụng tàu cá không quốc tịch hoặc mang quốc tịch của quốc gia không phải là thành viên của tổ chức nghề cá khu vực;</w:t>
      </w:r>
    </w:p>
    <w:p w14:paraId="5859BBE5"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huy, phân công, điều hành việc thay đổi, xóa bỏ nhật ký hành trình trên máy định vị vệ tinh;</w:t>
      </w:r>
    </w:p>
    <w:p w14:paraId="058A35D5"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Chuẩn bị, cung cấp tàu cá; tạo các điều kiện vật chất, hậu cần như ứng tiền, lương thực, thực phẩm, cung cấp dụng cụ, ngư cụ đánh bắt thủy sản và các điều kiện khác cho ngư dân đi khai thác thủy sản trái phép ở ngoài vùng biển Việt Nam;</w:t>
      </w:r>
    </w:p>
    <w:p w14:paraId="223FE69A"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Tuyển ngư dân và đưa họ đi khai thác thủy sản trái phép ở ngoài vùng biển Việt Nam;</w:t>
      </w:r>
    </w:p>
    <w:p w14:paraId="087E5A98"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những công việc khác để đưa tàu cá và ngư dân khai thác thủy sản trái phép ở ngoài vùng biển Việt Nam.</w:t>
      </w:r>
    </w:p>
    <w:p w14:paraId="726638FB"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Môi giới cho người khác xuất cảnh, nhập cảnh để đưa tàu cá, ngư dân khai thác thủy sản trái phép ở ngoài vùng biển Việt Nam</w:t>
      </w:r>
      <w:r>
        <w:rPr>
          <w:rFonts w:ascii="Arial" w:hAnsi="Arial" w:cs="Arial"/>
          <w:color w:val="000000"/>
          <w:sz w:val="21"/>
          <w:szCs w:val="21"/>
        </w:rPr>
        <w:t> hướng dẫn tại khoản 1 Điều này là việc cá nhân làm trung gian để hỗ trợ, chuẩn bị thực hiện một hoặc nhiều hành vi hướng dẫn tại khoản 2 Điều này nhằm mục đích hưởng lợi ích vật chất hoặc lợi ích phi vật chất.</w:t>
      </w:r>
    </w:p>
    <w:p w14:paraId="56A4E520"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nào tổ chức, môi giới cho người khác đưa tàu cá, ngư dân khai thác thủy sản ở ngoài vùng biển Việt Nam mà biết ngư dân sẽ trốn đi nước ngoài hoặc ở lại nước ngoài trái phép thì bị truy cứu trách nhiệm hình sự về tội tổ chức, môi giới cho người khác trốn đi nước ngoài hoặc ở lại nước ngoài trái phép quy định tại Điều 349 của Bộ luật Hình sự, nếu có đủ yếu tố cấu thành tội phạm.</w:t>
      </w:r>
    </w:p>
    <w:p w14:paraId="0EF6E4DB"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nào chỉ đạo, sắp xếp, bố trí, điều hành ngư dân không làm thủ tục xuất cảnh theo quy định và thực hiện một hoặc nhiều hành vi khai thác thủy sản hướng dẫn tại các điểm a, b, c, d, đ, n và o khoản 1 Điều 2 Nghị quyết này thì ngoài việc bị truy cứu trách nhiệm hình sự về tội tổ chức cho người khác xuất cảnh trái phép quy định tại Điều 348 còn bị truy cứu trách nhiệm hình sự về tội hủy hoại nguồn lợi thủy sản quy định tại Điều 242 hoặc tội vi phạm quy định về bảo vệ động vật nguy cấp, quý, hiếm quy định tại Điều 244 của Bộ luật Hình sự, nếu có đủ yếu tố cấu thành tội phạm.</w:t>
      </w:r>
    </w:p>
    <w:p w14:paraId="30B64C13"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Truy cứu trách nhiệm hình sự đối với hành vi khai thác thủy sản vi phạm quy định về bảo vệ nguồn lợi thủy sản</w:t>
      </w:r>
    </w:p>
    <w:p w14:paraId="5C913650"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khai thác thủy sản mà vi phạm quy định về bảo vệ nguồn lợi thủy sản thì bị truy cứu trách nhiệm hình sự về tội hủy hoại nguồn lợi thủy sản quy định tại Điều 242 của Bộ luật Hình sự, nếu có đủ yếu tố cấu thành tội phạm.</w:t>
      </w:r>
    </w:p>
    <w:p w14:paraId="49DD8ADB"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Phương tiện, ngư cụ bị cấm</w:t>
      </w:r>
      <w:r>
        <w:rPr>
          <w:rFonts w:ascii="Arial" w:hAnsi="Arial" w:cs="Arial"/>
          <w:color w:val="000000"/>
          <w:sz w:val="21"/>
          <w:szCs w:val="21"/>
        </w:rPr>
        <w:t> quy định tại điểm a khoản 1 Điều 242 của Bộ luật Hình sự là các phương tiện, ngư cụ quy định tại Phụ lục II ban hành kèm theo Thông tư số </w:t>
      </w:r>
      <w:hyperlink r:id="rId13" w:history="1">
        <w:r>
          <w:rPr>
            <w:rStyle w:val="Hyperlink"/>
            <w:rFonts w:ascii="Arial" w:hAnsi="Arial" w:cs="Arial"/>
            <w:color w:val="135ECD"/>
            <w:sz w:val="21"/>
            <w:szCs w:val="21"/>
          </w:rPr>
          <w:t>01/2022/TT-BNNPTNT</w:t>
        </w:r>
      </w:hyperlink>
      <w:r>
        <w:rPr>
          <w:rFonts w:ascii="Arial" w:hAnsi="Arial" w:cs="Arial"/>
          <w:color w:val="000000"/>
          <w:sz w:val="21"/>
          <w:szCs w:val="21"/>
        </w:rPr>
        <w:t> ngày 18/01/2022 của Bộ trưởng Bộ Nông nghiệp và Phát triển nông thôn sửa đổi, bổ sung một số Thông tư trong lĩnh vực thủy sản.</w:t>
      </w:r>
    </w:p>
    <w:p w14:paraId="5324CDB2"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Khai thác thủy sản trong khu vực cấm</w:t>
      </w:r>
      <w:r>
        <w:rPr>
          <w:rFonts w:ascii="Arial" w:hAnsi="Arial" w:cs="Arial"/>
          <w:color w:val="000000"/>
          <w:sz w:val="21"/>
          <w:szCs w:val="21"/>
        </w:rPr>
        <w:t> quy định tại điểm b khoản 1 Điều 242 của Bộ luật Hình sự là khai thác thủy sản trong vườn quốc gia, khu dự trữ thiên nhiên, khu bảo tồn loài - sinh cảnh, khu bảo vệ cảnh quan, khu bảo vệ nguồn lợi thủy sản hoặc khai thác trong các khu vực khác có quy định cấm theo quy định của cơ quan nhà nước có thẩm quyền.</w:t>
      </w:r>
    </w:p>
    <w:p w14:paraId="45F41336"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Khai thác thủy sản trong khu vực cấm có thời hạn</w:t>
      </w:r>
      <w:r>
        <w:rPr>
          <w:rFonts w:ascii="Arial" w:hAnsi="Arial" w:cs="Arial"/>
          <w:color w:val="000000"/>
          <w:sz w:val="21"/>
          <w:szCs w:val="21"/>
        </w:rPr>
        <w:t> quy định tại điểm b khoản 1 Điều 242 của Bộ luật Hình sự là khai thác thủy sản trong khu vực quy định tại Phụ lục III ban hành kèm theo Thông tư số 01/2022/TT-BNNPTNT ngày 18/01/2022 của Bộ trưởng Bộ Nông nghiệp và Phát triển nông thôn sửa đổi, bổ sung một số Thông tư trong lĩnh vực thủy sản.</w:t>
      </w:r>
    </w:p>
    <w:p w14:paraId="3F91C786"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Khai thác loài thủy sản bị cấm khai thác</w:t>
      </w:r>
      <w:r>
        <w:rPr>
          <w:rFonts w:ascii="Arial" w:hAnsi="Arial" w:cs="Arial"/>
          <w:color w:val="000000"/>
          <w:sz w:val="21"/>
          <w:szCs w:val="21"/>
        </w:rPr>
        <w:t> quy định tại điểm c khoản 1 Điều 242 của Bộ luật Hình sự là khai thác loài thủy sản thuộc Nhóm I Phụ lục II ban hành kèm theo Nghị định số </w:t>
      </w:r>
      <w:hyperlink r:id="rId14" w:tgtFrame="_blank" w:history="1">
        <w:r>
          <w:rPr>
            <w:rStyle w:val="Hyperlink"/>
            <w:rFonts w:ascii="Arial" w:hAnsi="Arial" w:cs="Arial"/>
            <w:color w:val="135ECD"/>
            <w:sz w:val="21"/>
            <w:szCs w:val="21"/>
          </w:rPr>
          <w:t>37/2024/NĐ-CP</w:t>
        </w:r>
      </w:hyperlink>
      <w:r>
        <w:rPr>
          <w:rFonts w:ascii="Arial" w:hAnsi="Arial" w:cs="Arial"/>
          <w:color w:val="000000"/>
          <w:sz w:val="21"/>
          <w:szCs w:val="21"/>
        </w:rPr>
        <w:t> ngày 04/4/2024 của Chính phủ sửa đổi, bổ sung một số điều của Nghị định số 26/2019/NĐ-CP ngày 08/3/2019 của Chính phủ quy định chi tiết một số điều và biện pháp thi hành Luật Thủy sản.</w:t>
      </w:r>
    </w:p>
    <w:p w14:paraId="56A02F67"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Thủy sản thuộc Nhóm II Phụ lục II ban hành kèm theo Nghị định số 37/2024/NĐ-CP ngày 04/4/2024 của Chính phủ sửa đổi, bổ sung một số điều của Nghị định số </w:t>
      </w:r>
      <w:hyperlink r:id="rId15" w:tgtFrame="_blank" w:history="1">
        <w:r>
          <w:rPr>
            <w:rStyle w:val="Hyperlink"/>
            <w:rFonts w:ascii="Arial" w:hAnsi="Arial" w:cs="Arial"/>
            <w:color w:val="135ECD"/>
            <w:sz w:val="21"/>
            <w:szCs w:val="21"/>
          </w:rPr>
          <w:t>26/2019/NĐ-CP</w:t>
        </w:r>
      </w:hyperlink>
      <w:r>
        <w:rPr>
          <w:rFonts w:ascii="Arial" w:hAnsi="Arial" w:cs="Arial"/>
          <w:color w:val="000000"/>
          <w:sz w:val="21"/>
          <w:szCs w:val="21"/>
        </w:rPr>
        <w:t> ngày 08/3/2019 của Chính phủ quy định chi tiết một số điều và biện pháp thi hành Luật Thủy sản cũng được coi là loài thủy sản bị cấm khai thác nếu việc khai thác chúng không đáp ứng đủ điều kiện theo quy định.</w:t>
      </w:r>
    </w:p>
    <w:p w14:paraId="5A476672"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Phá hoại nơi cư ngụ của loài thủy sản</w:t>
      </w:r>
      <w:r>
        <w:rPr>
          <w:rFonts w:ascii="Arial" w:hAnsi="Arial" w:cs="Arial"/>
          <w:color w:val="000000"/>
          <w:sz w:val="21"/>
          <w:szCs w:val="21"/>
        </w:rPr>
        <w:t> quy định tại điểm d khoản 1 Điều 242 của Bộ luật Hình sự là hành vi làm suy giảm, gây tổn hại hoặc mất đi môi trường sống, hệ sinh thái thủy sinh, khu vực thủy sản còn non tập trung sinh sống, đường di cư của loài thủy sản thuộc Danh mục loài nguy cấp, quý, hiếm được ưu tiên bảo vệ.</w:t>
      </w:r>
    </w:p>
    <w:p w14:paraId="00321010"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Truy cứu trách nhiệm hình sự đối với hành vi khai thác, mua bán, vận chuyển thủy sản nguy cấp, quý, hiếm</w:t>
      </w:r>
    </w:p>
    <w:p w14:paraId="1B9EF7D4"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khai thác, mua bán, vận chuyển thủy sản thuộc Danh mục loài nguy cấp, quý, hiếm được ưu tiên bảo vệ quy định tại Điều 37 của </w:t>
      </w:r>
      <w:hyperlink r:id="rId16" w:tgtFrame="_blank" w:history="1">
        <w:r>
          <w:rPr>
            <w:rStyle w:val="Hyperlink"/>
            <w:rFonts w:ascii="Arial" w:hAnsi="Arial" w:cs="Arial"/>
            <w:color w:val="135ECD"/>
            <w:sz w:val="21"/>
            <w:szCs w:val="21"/>
          </w:rPr>
          <w:t>Luật Đa dạng sinh</w:t>
        </w:r>
      </w:hyperlink>
      <w:r>
        <w:rPr>
          <w:rFonts w:ascii="Arial" w:hAnsi="Arial" w:cs="Arial"/>
          <w:color w:val="000000"/>
          <w:sz w:val="21"/>
          <w:szCs w:val="21"/>
        </w:rPr>
        <w:t xml:space="preserve"> học hoặc Phụ lục I Công ước về buôn bán quốc tế các loài động vật, thực vật hoang dã nguy cấp thì bị truy cứu trách nhiệm hình </w:t>
      </w:r>
      <w:r>
        <w:rPr>
          <w:rFonts w:ascii="Arial" w:hAnsi="Arial" w:cs="Arial"/>
          <w:color w:val="000000"/>
          <w:sz w:val="21"/>
          <w:szCs w:val="21"/>
        </w:rPr>
        <w:lastRenderedPageBreak/>
        <w:t>sự về tội vi phạm quy định về bảo vệ động vật nguy cấp, quý, hiếm quy định tại Điều 244 của Bộ luật Hình sự, nếu có đủ yếu tố cấu thành tội phạm.</w:t>
      </w:r>
    </w:p>
    <w:p w14:paraId="3C963478"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Truy cứu trách nhiệm hình sự người nước ngoài về hành vi đưa tàu cá khai thác thủy sản trái phép tại vùng biển Việt Nam</w:t>
      </w:r>
    </w:p>
    <w:p w14:paraId="6967A726"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nước ngoài sử dụng tàu cá đi vào vùng biển Việt Nam để khai thác thủy sản mà không làm thủ tục nhập cảnh theo quy định thì bị truy cứu trách nhiệm hình sự về tội vi phạm quy định về nhập cảnh quy định tại Điều 347 của Bộ luật Hình sự, nếu có đủ yếu tố cấu thành tội phạm.</w:t>
      </w:r>
    </w:p>
    <w:p w14:paraId="4884488D"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nước ngoài sử dụng tàu cá đi vào vùng biển Việt Nam hợp pháp nhưng khai thác thủy sản trái phép hoặc có hành vi vi phạm pháp luật hình sự khác thì bị truy cứu trách nhiệm hình sự về tội phạm tương ứng quy định tại Bộ luật Hình sự và điều ước quốc tế mà Việt Nam là thành viên, nếu có đủ yếu tố cấu thành tội phạm.</w:t>
      </w:r>
    </w:p>
    <w:p w14:paraId="15E02AB5"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Truy cứu trách nhiệm hình sự đối với hành vi vi phạm quy định về quản lý, sử dụng thiết bị giám sát hành trình tàu cá nhằm khai thác thủy sản trái phép</w:t>
      </w:r>
    </w:p>
    <w:p w14:paraId="53D3214B"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thực hiện một trong các hành vi sau đây gây cản trở hoặc rối loạn khả năng quản lý, giám sát, điều hành của cơ quan có thẩm quyền nhằm khai thác thủy sản trái phép thì bị truy cứu trách nhiệm hình sự về tội cản trở hoặc gây rối loạn hoạt động của mạng máy tính, mạng viễn thông, phương tiện điện tử quy định tại Điều 287 của Bộ luật Hình sự, nếu có đủ yếu tố cấu thành tội phạm.</w:t>
      </w:r>
    </w:p>
    <w:p w14:paraId="65B11548"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Tháo gỡ, tàng trữ, vận chuyển từ 02 thiết bị giám sát hành trình của tàu cá khác trở lên;</w:t>
      </w:r>
    </w:p>
    <w:p w14:paraId="558A5F98"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Xóa, làm tổn hại hoặc thay đổi phần mềm, dữ liệu điện tử hoặc ngăn chặn trái phép việc truyền tải dữ liệu hoặc gây rối loạn hoạt động của thiết bị giám sát hành trình tàu cá.</w:t>
      </w:r>
    </w:p>
    <w:p w14:paraId="38822E66"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Truy cứu trách nhiệm hình sự đối với hành vi làm giả con dấu, tài liệu của cơ quan, tổ chức; sử dụng con dấu hoặc tài liệu giả của cơ quan, tổ chức để khai thác, mua bán, vận chuyển trái phép thủy sản</w:t>
      </w:r>
    </w:p>
    <w:p w14:paraId="753AD345"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xuất cảnh hoặc tổ chức, môi giới cho người khác xuất cảnh trái phép mà còn làm giả con dấu, tài liệu hoặc giấy tờ khác của cơ quan, tổ chức hoặc sử dụng con dấu, tài liệu hoặc giấy tờ giả để khai thác, mua bán, vận chuyển trái phép thủy sản thì ngoài việc bị truy cứu trách nhiệm hình sự về tội vi phạm quy định về xuất cảnh quy định tại Điều 347 hoặc tội tổ chức, môi giới cho người khác xuất cảnh trái phép quy định tại Điều 348 còn bị truy cứu trách nhiệm hình sự về tội làm giả con dấu, tài liệu của cơ quan, tổ chức; tội sử dụng con dấu hoặc tài liệu giả của cơ quan, tổ chức quy định tại Điều 341 của Bộ luật Hình sự, nếu có đủ yếu tố cấu thành tội phạm.</w:t>
      </w:r>
    </w:p>
    <w:p w14:paraId="6CC8048F"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Tài liệu giả, giấy tờ giả quy định tại khoản 1 Điều này là một trong những tài liệu giả, giấy tờ giả sau đây:</w:t>
      </w:r>
    </w:p>
    <w:p w14:paraId="5063E3F3"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tùy thân, hộ chiếu, giấy thông hành, giấy tờ có giá trị đi lại quốc tế;</w:t>
      </w:r>
    </w:p>
    <w:p w14:paraId="232CC0D0"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cấp cho người nước ngoài nhập cảnh, xuất cảnh, cư trú tại Việt Nam hoặc thẻ ABTC;</w:t>
      </w:r>
    </w:p>
    <w:p w14:paraId="06EDB5BF"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đăng ký đối với tàu cá;</w:t>
      </w:r>
    </w:p>
    <w:p w14:paraId="68620D1E"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xuất khẩu, nhập khẩu hàng hóa; giấy chứng nhận xuất xứ hàng hóa;</w:t>
      </w:r>
    </w:p>
    <w:p w14:paraId="149E2299"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nhận kiểm dịch;</w:t>
      </w:r>
    </w:p>
    <w:p w14:paraId="11A2143D"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phép của cơ quan có thẩm quyền nuôi trồng thủy sản với loài có tên trong danh mục loại thủy sản xuất khẩu có điều kiện hoặc thủy sản cấm xuất khẩu;</w:t>
      </w:r>
    </w:p>
    <w:p w14:paraId="11EF14AC"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Hồ sơ, tài liệu giả khác nhằm hợp thức hóa hồ sơ xuất khẩu thủy sản;</w:t>
      </w:r>
    </w:p>
    <w:p w14:paraId="1BF8B9EB"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Giấy phép hoặc giấy chấp thuận khai thác thủy sản;</w:t>
      </w:r>
    </w:p>
    <w:p w14:paraId="30011F06"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Giấy tờ, tài liệu khác để hỗ trợ việc khai thác, mua bán, vận chuyển trái phép thủy sản.</w:t>
      </w:r>
    </w:p>
    <w:p w14:paraId="360FFAED"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Truy cứu trách nhiệm hình sự đối với hành vi buôn lậu, vận chuyển trái phép thủy sản, dùng thủ đoạn gian dối mua, bán thủy sản</w:t>
      </w:r>
    </w:p>
    <w:p w14:paraId="1E1A3675"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buôn bán thủy sản qua biên giới hoặc từ khu phi thuế quan vào nội địa hoặc ngược lại mà không có giấy phép xuất khẩu, nhập khẩu thủy sản hoặc không đúng với nội dung giấy phép thì bị truy cứu trách nhiệm hình sự về tội buôn lậu quy định tại Điều 188 của Bộ luật Hình sự, nếu có đủ yếu tố cấu thành tội phạm.</w:t>
      </w:r>
    </w:p>
    <w:p w14:paraId="6EA7F09B"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nào vận chuyển thủy sản qua biên giới hoặc từ khu phi thuế quan vào nội địa hoặc vào vùng biển Việt Nam nhưng không có giấy phép, không đúng với nội dung giấy phép, không có giấy tờ chứng minh nguồn gốc xuất xứ thì bị truy cứu trách nhiệm hình sự về tội vận chuyển trái phép hàng hóa qua biên giới quy định tại Điều 189 của Bộ luật Hình sự, nếu có đủ yếu tố cấu thành tội phạm.</w:t>
      </w:r>
    </w:p>
    <w:p w14:paraId="3BC65CCD"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nào dùng thủ đoạn gian dối như hợp thức hóa hồ sơ, chứng từ, nguồn gốc thủy sản khai thác trái phép để mua, bán thì bị truy cứu trách nhiệm về tội lừa dối khách hàng quy định tại Điều 198 của Bộ luật Hình sự, nếu có đủ yếu tố cấu thành tội phạm.</w:t>
      </w:r>
    </w:p>
    <w:p w14:paraId="43E2ECEE"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Nguyễn Văn A đánh bắt trái phép cá ngừ tại vùng biển Việt Nam nhưng làm hồ sơ, hợp thức hóa số cá ngừ nêu trên có nguồn gốc xuất xứ từ nước B để xuất khẩu đi nước C. Trường hợp </w:t>
      </w:r>
      <w:r>
        <w:rPr>
          <w:rFonts w:ascii="Arial" w:hAnsi="Arial" w:cs="Arial"/>
          <w:color w:val="000000"/>
          <w:sz w:val="21"/>
          <w:szCs w:val="21"/>
        </w:rPr>
        <w:lastRenderedPageBreak/>
        <w:t>này, Nguyễn Văn A bị truy cứu trách nhiệm hình sự về tội lừa dối khách hàng quy định tại Điều 198 của Bộ luật Hình sự.</w:t>
      </w:r>
    </w:p>
    <w:p w14:paraId="73A832BC"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Hiệu lực thi hành</w:t>
      </w:r>
    </w:p>
    <w:p w14:paraId="16AF530E"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đã được Hội đồng Thẩm phán Tòa án nhân dân tối cao thông qua ngày 12 tháng 6 năm 2024 và có hiệu lực thi hành kể từ ngày 01 tháng 8 năm 2024.</w:t>
      </w:r>
    </w:p>
    <w:p w14:paraId="5F120432" w14:textId="77777777" w:rsidR="00D6522B" w:rsidRDefault="00D6522B" w:rsidP="00D6522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phạm tội đã bị xét xử trước ngày Nghị quyết này có hiệu lực theo đúng các quy định, hướng dẫn trước đây và bản án đã có hiệu lực pháp luật thì không căn cứ vào Nghị quyết này để kháng nghị theo thủ tục giám đốc thẩm, tái thẩm.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9"/>
        <w:gridCol w:w="4475"/>
      </w:tblGrid>
      <w:tr w:rsidR="00D6522B" w14:paraId="13AD0A6E" w14:textId="77777777" w:rsidTr="00D6522B">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7D046" w14:textId="77777777" w:rsidR="00D6522B" w:rsidRDefault="00D6522B" w:rsidP="00D6522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 (để giám sát); </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Ban Dân nguyện thuộc UBTVQH;</w:t>
            </w:r>
            <w:r>
              <w:rPr>
                <w:rFonts w:ascii="Arial" w:hAnsi="Arial" w:cs="Arial"/>
                <w:color w:val="000000"/>
                <w:sz w:val="21"/>
                <w:szCs w:val="21"/>
              </w:rPr>
              <w:br/>
              <w:t>- Ban Nội chính Trung ương;</w:t>
            </w:r>
            <w:r>
              <w:rPr>
                <w:rFonts w:ascii="Arial" w:hAnsi="Arial" w:cs="Arial"/>
                <w:color w:val="000000"/>
                <w:sz w:val="21"/>
                <w:szCs w:val="21"/>
              </w:rPr>
              <w:br/>
              <w:t>- Văn phòng Chính phủ 02 bản;</w:t>
            </w:r>
            <w:r>
              <w:rPr>
                <w:rFonts w:ascii="Arial" w:hAnsi="Arial" w:cs="Arial"/>
                <w:color w:val="000000"/>
                <w:sz w:val="21"/>
                <w:szCs w:val="21"/>
              </w:rPr>
              <w:br/>
              <w:t>- Viện kiểm sát nhân dân tối cao;</w:t>
            </w:r>
            <w:r>
              <w:rPr>
                <w:rFonts w:ascii="Arial" w:hAnsi="Arial" w:cs="Arial"/>
                <w:color w:val="000000"/>
                <w:sz w:val="21"/>
                <w:szCs w:val="21"/>
              </w:rPr>
              <w:br/>
              <w:t>- Bộ Tư pháp;</w:t>
            </w:r>
            <w:r>
              <w:rPr>
                <w:rFonts w:ascii="Arial" w:hAnsi="Arial" w:cs="Arial"/>
                <w:color w:val="000000"/>
                <w:sz w:val="21"/>
                <w:szCs w:val="21"/>
              </w:rPr>
              <w:br/>
              <w:t>- Bộ Công a1. Người nào buôn bán thủy sản qua biên giới hoặc từ khu phi thuế quan vào nội địa hoặc ngược lại mà không có giấy phép xuất khẩu, nhập khẩu thủy sản hoặc không đúng với nội dung giấy phép thì bị truy cứu trách nhiệm hình sự về tội buôn lậu quy định tại nghiệp và Phát triển nông thôn;</w:t>
            </w:r>
            <w:r>
              <w:rPr>
                <w:rFonts w:ascii="Arial" w:hAnsi="Arial" w:cs="Arial"/>
                <w:color w:val="000000"/>
                <w:sz w:val="21"/>
                <w:szCs w:val="21"/>
              </w:rPr>
              <w:br/>
              <w:t>- Bộ Ngoại giao; </w:t>
            </w:r>
            <w:r>
              <w:rPr>
                <w:rFonts w:ascii="Arial" w:hAnsi="Arial" w:cs="Arial"/>
                <w:color w:val="000000"/>
                <w:sz w:val="21"/>
                <w:szCs w:val="21"/>
              </w:rPr>
              <w:br/>
              <w:t>- Bộ Quốc phòng;</w:t>
            </w:r>
            <w:r>
              <w:rPr>
                <w:rFonts w:ascii="Arial" w:hAnsi="Arial" w:cs="Arial"/>
                <w:color w:val="000000"/>
                <w:sz w:val="21"/>
                <w:szCs w:val="21"/>
              </w:rPr>
              <w:br/>
              <w:t>- Bộ Tài chính;</w:t>
            </w:r>
            <w:r>
              <w:rPr>
                <w:rFonts w:ascii="Arial" w:hAnsi="Arial" w:cs="Arial"/>
                <w:color w:val="000000"/>
                <w:sz w:val="21"/>
                <w:szCs w:val="21"/>
              </w:rPr>
              <w:br/>
              <w:t>- Các TAND và TAQS các cấp (để thực hiện);</w:t>
            </w:r>
            <w:r>
              <w:rPr>
                <w:rFonts w:ascii="Arial" w:hAnsi="Arial" w:cs="Arial"/>
                <w:color w:val="000000"/>
                <w:sz w:val="21"/>
                <w:szCs w:val="21"/>
              </w:rPr>
              <w:br/>
              <w:t>- Các Thẩm phán và các đơn vị TANDTC (để thực hiện);</w:t>
            </w:r>
            <w:r>
              <w:rPr>
                <w:rFonts w:ascii="Arial" w:hAnsi="Arial" w:cs="Arial"/>
                <w:color w:val="000000"/>
                <w:sz w:val="21"/>
                <w:szCs w:val="21"/>
              </w:rPr>
              <w:br/>
              <w:t>- Cổng Thông tin điện tử TANDTC (để đăng tải);</w:t>
            </w:r>
            <w:r>
              <w:rPr>
                <w:rFonts w:ascii="Arial" w:hAnsi="Arial" w:cs="Arial"/>
                <w:color w:val="000000"/>
                <w:sz w:val="21"/>
                <w:szCs w:val="21"/>
              </w:rPr>
              <w:br/>
              <w:t>- Lưu: VT, Vụ PC&amp;QLKH TANDTC.</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DECA9" w14:textId="77777777" w:rsidR="00D6522B" w:rsidRDefault="00D6522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THẨM PHÁN</w:t>
            </w:r>
            <w:r>
              <w:rPr>
                <w:rFonts w:ascii="Arial" w:hAnsi="Arial" w:cs="Arial"/>
                <w:b/>
                <w:bCs/>
                <w:color w:val="000000"/>
                <w:sz w:val="21"/>
                <w:szCs w:val="21"/>
              </w:rPr>
              <w:br/>
            </w:r>
            <w:r>
              <w:rPr>
                <w:rStyle w:val="Strong"/>
                <w:rFonts w:ascii="Arial" w:hAnsi="Arial" w:cs="Arial"/>
                <w:color w:val="000000"/>
                <w:sz w:val="21"/>
                <w:szCs w:val="21"/>
              </w:rPr>
              <w:t>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Hòa Bình</w:t>
            </w:r>
          </w:p>
        </w:tc>
      </w:tr>
    </w:tbl>
    <w:p w14:paraId="29E29492" w14:textId="7B1DF014" w:rsidR="008100A5" w:rsidRPr="00D6522B" w:rsidRDefault="008100A5" w:rsidP="00D6522B"/>
    <w:sectPr w:rsidR="008100A5" w:rsidRPr="00D6522B" w:rsidSect="00EF16BB">
      <w:headerReference w:type="even" r:id="rId17"/>
      <w:headerReference w:type="default" r:id="rId18"/>
      <w:footerReference w:type="even" r:id="rId19"/>
      <w:footerReference w:type="default" r:id="rId2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E0F2C" w14:textId="77777777" w:rsidR="00843BD2" w:rsidRDefault="00843BD2">
      <w:r>
        <w:separator/>
      </w:r>
    </w:p>
  </w:endnote>
  <w:endnote w:type="continuationSeparator" w:id="0">
    <w:p w14:paraId="61A05830" w14:textId="77777777" w:rsidR="00843BD2" w:rsidRDefault="0084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CF090" w14:textId="77777777" w:rsidR="00843BD2" w:rsidRDefault="00843BD2">
      <w:r>
        <w:separator/>
      </w:r>
    </w:p>
  </w:footnote>
  <w:footnote w:type="continuationSeparator" w:id="0">
    <w:p w14:paraId="5EACCB62" w14:textId="77777777" w:rsidR="00843BD2" w:rsidRDefault="00843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43BD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36A0"/>
    <w:rsid w:val="003C5555"/>
    <w:rsid w:val="003D585B"/>
    <w:rsid w:val="003D7634"/>
    <w:rsid w:val="003E1C81"/>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5127"/>
    <w:rsid w:val="005E185E"/>
    <w:rsid w:val="005E6685"/>
    <w:rsid w:val="005E66BE"/>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35E0"/>
    <w:rsid w:val="00966AA6"/>
    <w:rsid w:val="00973004"/>
    <w:rsid w:val="00984C87"/>
    <w:rsid w:val="0098730C"/>
    <w:rsid w:val="009A17D9"/>
    <w:rsid w:val="009A4E3A"/>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0BD9"/>
    <w:rsid w:val="00AC2D3E"/>
    <w:rsid w:val="00AC38B3"/>
    <w:rsid w:val="00AC48E0"/>
    <w:rsid w:val="00AC5290"/>
    <w:rsid w:val="00AD22F3"/>
    <w:rsid w:val="00AE05E6"/>
    <w:rsid w:val="00AE4E46"/>
    <w:rsid w:val="00AE5F1E"/>
    <w:rsid w:val="00AF4C87"/>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2B02"/>
    <w:rsid w:val="00C2317D"/>
    <w:rsid w:val="00C26ECB"/>
    <w:rsid w:val="00C32A6C"/>
    <w:rsid w:val="00C33159"/>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473F"/>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hinh-su-nam-2015.aspx" TargetMode="External"/><Relationship Id="rId13" Type="http://schemas.openxmlformats.org/officeDocument/2006/relationships/hyperlink" Target="https://admin.luatminhkhue.vn/van-ban/thong-tu-01-2022-tt-bnnptnt.asp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luatminhkhue.vn/van-ban/luat-to-chuc-toa-an-nhan-dan-nam-2014.aspx" TargetMode="External"/><Relationship Id="rId12" Type="http://schemas.openxmlformats.org/officeDocument/2006/relationships/hyperlink" Target="https://admin.luatminhkhue.vn/van-ban/luat-bien-viet-nam-nam-2012.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luatminhkhue.vn/van-ban/luat-da-dang-sinh-hoc-nam-2008.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bo-luat-hang-hai-viet-nam-nam-2015.aspx" TargetMode="External"/><Relationship Id="rId5" Type="http://schemas.openxmlformats.org/officeDocument/2006/relationships/footnotes" Target="footnotes.xml"/><Relationship Id="rId15" Type="http://schemas.openxmlformats.org/officeDocument/2006/relationships/hyperlink" Target="https://admin.luatminhkhue.vn/van-ban/nghi-dinh-26-2019-nd-cp-huong-dan-luat-thuy-san.aspx" TargetMode="External"/><Relationship Id="rId10" Type="http://schemas.openxmlformats.org/officeDocument/2006/relationships/hyperlink" Target="https://admin.luatminhkhue.vn/van-ban/luat-thuy-san-nam-2017.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luatminhkhue.vn/van-ban/bo-luat-hinh-su-sua-doi-bo-sung-nam-2017.aspx" TargetMode="External"/><Relationship Id="rId14" Type="http://schemas.openxmlformats.org/officeDocument/2006/relationships/hyperlink" Target="https://admin.luatminhkhue.vn/van-ban/nghi-dinh-37-2024-nd-cp-sua-doi-ve-bien-phap-thi-hanh-luat-thuy-san.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8</Pages>
  <Words>2688</Words>
  <Characters>15324</Characters>
  <Application>Microsoft Office Word</Application>
  <DocSecurity>0</DocSecurity>
  <Lines>127</Lines>
  <Paragraphs>35</Paragraphs>
  <ScaleCrop>false</ScaleCrop>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304</cp:revision>
  <dcterms:created xsi:type="dcterms:W3CDTF">2024-12-02T03:13:00Z</dcterms:created>
  <dcterms:modified xsi:type="dcterms:W3CDTF">2025-01-09T08:23:00Z</dcterms:modified>
</cp:coreProperties>
</file>