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51A8F" w14:paraId="1BF15D20" w14:textId="77777777" w:rsidTr="00951A8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6DFEA" w14:textId="77777777" w:rsidR="00951A8F" w:rsidRDefault="00951A8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905D3" w14:textId="77777777" w:rsidR="00951A8F" w:rsidRDefault="00951A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51A8F" w14:paraId="3E423030" w14:textId="77777777" w:rsidTr="00951A8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E5691" w14:textId="77777777" w:rsidR="00951A8F" w:rsidRDefault="00951A8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100/2021/TT-BTC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BA629" w14:textId="77777777" w:rsidR="00951A8F" w:rsidRDefault="00951A8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11 năm 2021</w:t>
            </w:r>
          </w:p>
        </w:tc>
      </w:tr>
    </w:tbl>
    <w:p w14:paraId="0C3F6B3F" w14:textId="77777777" w:rsidR="00951A8F" w:rsidRDefault="00951A8F" w:rsidP="00951A8F">
      <w:pPr>
        <w:pStyle w:val="NormalWeb"/>
        <w:spacing w:after="90" w:afterAutospacing="0" w:line="345" w:lineRule="atLeast"/>
        <w:jc w:val="both"/>
        <w:rPr>
          <w:rFonts w:ascii="Arial" w:hAnsi="Arial" w:cs="Arial"/>
          <w:color w:val="000000"/>
          <w:sz w:val="21"/>
          <w:szCs w:val="21"/>
        </w:rPr>
      </w:pPr>
    </w:p>
    <w:p w14:paraId="78020023" w14:textId="77777777" w:rsidR="00951A8F" w:rsidRDefault="00951A8F" w:rsidP="00951A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FCC3E04" w14:textId="77777777" w:rsidR="00951A8F" w:rsidRDefault="00951A8F" w:rsidP="00951A8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THÔNG TƯ SỐ 40/2021/TT-BTC NGÀY 01/6/2021 CỦA BỘ TRƯỞNG BỘ TÀI CHÍNH HƯỚNG DẪN THUẾ GIÁ TRỊ GIA TĂNG, THUẾ THU NHẬP CÁ NHÂN VÀ QUẢN LÝ THUẾ ĐỐI VỚI HỘ KINH DOANH, CÁ NHÂN KINH DOANH</w:t>
      </w:r>
    </w:p>
    <w:p w14:paraId="597410AB"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thuế Thu nhập cá nhân</w:t>
        </w:r>
      </w:hyperlink>
      <w:r>
        <w:rPr>
          <w:rStyle w:val="Emphasis"/>
          <w:rFonts w:ascii="Arial" w:hAnsi="Arial" w:cs="Arial"/>
          <w:color w:val="000000"/>
          <w:sz w:val="21"/>
          <w:szCs w:val="21"/>
        </w:rPr>
        <w:t> ngày 21 tháng 11 năm 2007; và </w:t>
      </w:r>
      <w:hyperlink r:id="rId8" w:history="1">
        <w:r>
          <w:rPr>
            <w:rStyle w:val="Hyperlink"/>
            <w:rFonts w:ascii="Arial" w:hAnsi="Arial" w:cs="Arial"/>
            <w:i/>
            <w:iCs/>
            <w:color w:val="135ECD"/>
            <w:sz w:val="21"/>
            <w:szCs w:val="21"/>
          </w:rPr>
          <w:t>Luật sửa đổi, bổ sung một số điều của Luật thuế Thu nhập cá nhân</w:t>
        </w:r>
      </w:hyperlink>
      <w:r>
        <w:rPr>
          <w:rStyle w:val="Emphasis"/>
          <w:rFonts w:ascii="Arial" w:hAnsi="Arial" w:cs="Arial"/>
          <w:color w:val="000000"/>
          <w:sz w:val="21"/>
          <w:szCs w:val="21"/>
        </w:rPr>
        <w:t> ngày 22 tháng 11 năm 2012;</w:t>
      </w:r>
    </w:p>
    <w:p w14:paraId="54B05BA4"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thuế Giá trị gia tăng</w:t>
        </w:r>
      </w:hyperlink>
      <w:r>
        <w:rPr>
          <w:rStyle w:val="Emphasis"/>
          <w:rFonts w:ascii="Arial" w:hAnsi="Arial" w:cs="Arial"/>
          <w:color w:val="000000"/>
          <w:sz w:val="21"/>
          <w:szCs w:val="21"/>
        </w:rPr>
        <w:t> ngày 03 tháng 6 năm 2008; và </w:t>
      </w:r>
      <w:hyperlink r:id="rId10" w:history="1">
        <w:r>
          <w:rPr>
            <w:rStyle w:val="Hyperlink"/>
            <w:rFonts w:ascii="Arial" w:hAnsi="Arial" w:cs="Arial"/>
            <w:i/>
            <w:iCs/>
            <w:color w:val="135ECD"/>
            <w:sz w:val="21"/>
            <w:szCs w:val="21"/>
          </w:rPr>
          <w:t>Luật sửa đổi, bổ sung một số điều của Luật thuế Giá trị gia tăng</w:t>
        </w:r>
      </w:hyperlink>
      <w:r>
        <w:rPr>
          <w:rStyle w:val="Emphasis"/>
          <w:rFonts w:ascii="Arial" w:hAnsi="Arial" w:cs="Arial"/>
          <w:color w:val="000000"/>
          <w:sz w:val="21"/>
          <w:szCs w:val="21"/>
        </w:rPr>
        <w:t> ngày 19 tháng 6 năm 2013;</w:t>
      </w:r>
    </w:p>
    <w:p w14:paraId="0CB89586"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sửa đổi, bổ sung một số điều của các Luật về thuế </w:t>
        </w:r>
      </w:hyperlink>
      <w:r>
        <w:rPr>
          <w:rStyle w:val="Emphasis"/>
          <w:rFonts w:ascii="Arial" w:hAnsi="Arial" w:cs="Arial"/>
          <w:color w:val="000000"/>
          <w:sz w:val="21"/>
          <w:szCs w:val="21"/>
        </w:rPr>
        <w:t>ngày 26 tháng 11 năm 2014;</w:t>
      </w:r>
    </w:p>
    <w:p w14:paraId="204CDB39"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Quản lý thuế</w:t>
        </w:r>
      </w:hyperlink>
      <w:r>
        <w:rPr>
          <w:rStyle w:val="Emphasis"/>
          <w:rFonts w:ascii="Arial" w:hAnsi="Arial" w:cs="Arial"/>
          <w:color w:val="000000"/>
          <w:sz w:val="21"/>
          <w:szCs w:val="21"/>
        </w:rPr>
        <w:t> ngày 13 tháng 06 năm 2019;</w:t>
      </w:r>
    </w:p>
    <w:p w14:paraId="3F82CD42"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209/2013/NĐ-CP</w:t>
        </w:r>
      </w:hyperlink>
      <w:r>
        <w:rPr>
          <w:rStyle w:val="Emphasis"/>
          <w:rFonts w:ascii="Arial" w:hAnsi="Arial" w:cs="Arial"/>
          <w:color w:val="000000"/>
          <w:sz w:val="21"/>
          <w:szCs w:val="21"/>
        </w:rPr>
        <w:t> ngày 18 tháng 12 năm 2013 của Chính phủ quy định chi tiết và hướng dẫn thi hành một số điều của Luật thuế giá trị gia tăng;</w:t>
      </w:r>
    </w:p>
    <w:p w14:paraId="1809359F"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4" w:history="1">
        <w:r>
          <w:rPr>
            <w:rStyle w:val="Hyperlink"/>
            <w:rFonts w:ascii="Arial" w:hAnsi="Arial" w:cs="Arial"/>
            <w:i/>
            <w:iCs/>
            <w:color w:val="135ECD"/>
            <w:sz w:val="21"/>
            <w:szCs w:val="21"/>
          </w:rPr>
          <w:t>12/2015/NĐ-CP</w:t>
        </w:r>
      </w:hyperlink>
      <w:r>
        <w:rPr>
          <w:rStyle w:val="Emphasis"/>
          <w:rFonts w:ascii="Arial" w:hAnsi="Arial" w:cs="Arial"/>
          <w:color w:val="000000"/>
          <w:sz w:val="21"/>
          <w:szCs w:val="21"/>
        </w:rPr>
        <w:t> ngày 12 tháng 02 năm 2015 của Chính phủ quy định chi tiết thi hành Luật sửa đổi, bổ sung một số điều của các Luật về thuế và sửa đổi, bổ sung một số điều của các Nghị định về thuế;</w:t>
      </w:r>
    </w:p>
    <w:p w14:paraId="345AC3AB"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5" w:history="1">
        <w:r>
          <w:rPr>
            <w:rStyle w:val="Hyperlink"/>
            <w:rFonts w:ascii="Arial" w:hAnsi="Arial" w:cs="Arial"/>
            <w:i/>
            <w:iCs/>
            <w:color w:val="135ECD"/>
            <w:sz w:val="21"/>
            <w:szCs w:val="21"/>
          </w:rPr>
          <w:t>126/2020/NĐ-CP</w:t>
        </w:r>
      </w:hyperlink>
      <w:r>
        <w:rPr>
          <w:rStyle w:val="Emphasis"/>
          <w:rFonts w:ascii="Arial" w:hAnsi="Arial" w:cs="Arial"/>
          <w:color w:val="000000"/>
          <w:sz w:val="21"/>
          <w:szCs w:val="21"/>
        </w:rPr>
        <w:t> ngày 19 tháng 10 năm 2020 của Chính phủ quy định chi tiết một số điều của Luật Quản lý thuế;</w:t>
      </w:r>
    </w:p>
    <w:p w14:paraId="191145B9"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6" w:history="1">
        <w:r>
          <w:rPr>
            <w:rStyle w:val="Hyperlink"/>
            <w:rFonts w:ascii="Arial" w:hAnsi="Arial" w:cs="Arial"/>
            <w:i/>
            <w:iCs/>
            <w:color w:val="135ECD"/>
            <w:sz w:val="21"/>
            <w:szCs w:val="21"/>
          </w:rPr>
          <w:t>87/2017/NĐ-CP</w:t>
        </w:r>
      </w:hyperlink>
      <w:r>
        <w:rPr>
          <w:rStyle w:val="Emphasis"/>
          <w:rFonts w:ascii="Arial" w:hAnsi="Arial" w:cs="Arial"/>
          <w:color w:val="000000"/>
          <w:sz w:val="21"/>
          <w:szCs w:val="21"/>
        </w:rPr>
        <w:t> ngày 26 tháng 7 năm 2017 của Chính phủ quy định chức năng nhiệm vụ, quyền hạn và cơ cấu tổ chức Bộ Tài chính;</w:t>
      </w:r>
    </w:p>
    <w:p w14:paraId="46AC9270"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657AB06C"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sửa đổi, bổ sung một số điều của </w:t>
      </w:r>
      <w:hyperlink r:id="rId17" w:history="1">
        <w:r>
          <w:rPr>
            <w:rStyle w:val="Hyperlink"/>
            <w:rFonts w:ascii="Arial" w:hAnsi="Arial" w:cs="Arial"/>
            <w:i/>
            <w:iCs/>
            <w:color w:val="135ECD"/>
            <w:sz w:val="21"/>
            <w:szCs w:val="21"/>
          </w:rPr>
          <w:t>Thông tư số 40/2021/TT-BTC</w:t>
        </w:r>
      </w:hyperlink>
      <w:r>
        <w:rPr>
          <w:rStyle w:val="Emphasis"/>
          <w:rFonts w:ascii="Arial" w:hAnsi="Arial" w:cs="Arial"/>
          <w:color w:val="000000"/>
          <w:sz w:val="21"/>
          <w:szCs w:val="21"/>
        </w:rPr>
        <w:t> ngày 01/6/2021 hướng dẫn thuế giá trị gia tăng, thuế thu nhập cá nhân và quản lý thuế đối với hộ kinh doanh, cá nhân kinh doanh.</w:t>
      </w:r>
    </w:p>
    <w:p w14:paraId="2ECF01FE"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Sửa đổi, bổ sung một số điều của Thông tư số 40/2021/TT-BTC ngày 01/6/2021 của Bộ Tài chính</w:t>
      </w:r>
    </w:p>
    <w:p w14:paraId="568C302F"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khoản 3 Điều 7 như sau:</w:t>
      </w:r>
    </w:p>
    <w:p w14:paraId="5B215CC8"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khoán đã được cơ quan thuế thông báo số thuế khoán phải nộp từ đầu năm thì hộ khoán thực hiện nộp thuế theo thông báo. Trường hợp hộ khoán đã được thông báo số thuế từ đầu năm nhưng trong năm ngừng hoặc tạm ngừng kinh doanh thì cơ quan thuế thực hiện điều chỉnh số thuế phải nộp theo hướng dẫn tại điểm b.4, điểm b.5 khoản 4 Điều 13 Thông tư này. Trường hợp hộ khoán mới ra kinh doanh trong năm (kinh doanh không đủ 12 tháng trong năm dương lịch) thì hộ khoán thuộc diện phải nộp thuế GTGT, phải nộp thuế TNCN nếu có doanh thu kinh doanh trong năm trên 100 triệu đồng; hoặc thuộc diện không phải nộp thuế GTGT, không phải nộp thuế TNCN nếu có doanh thu kinh doanh trong năm từ 100 triệu đồng trở xuống.”</w:t>
      </w:r>
    </w:p>
    <w:p w14:paraId="29F1391A"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điểm đ, điểm e khoản 1 Điều 8 như sau:</w:t>
      </w:r>
    </w:p>
    <w:p w14:paraId="2628691F"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bao gồm cả chủ sở hữu Sàn giao dịch thương mại điện tử thực hiện việc khai thuế thay, nộp thuế thay cho cá nhân trên cơ sở ủy quyền theo quy định của pháp luật dân sự;</w:t>
      </w:r>
    </w:p>
    <w:p w14:paraId="77559975"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 nhân khai thuế thay, nộp thuế thay cho cá nhân là người nộp thuế trên cơ sở ủy quyền theo quy định của pháp luật dân sự.”</w:t>
      </w:r>
    </w:p>
    <w:p w14:paraId="29ED1D7C"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điểm c khoản 1 Điều 9 như sau:</w:t>
      </w:r>
    </w:p>
    <w:p w14:paraId="0890DAD1"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chỉ có hoạt động cho thuê tài sản và thời gian cho thuê không trọn năm, nếu phát sinh doanh thu cho thuê từ 100 triệu đồng/năm trở xuống thì thuộc diện không phải nộp thuế GTGT, không phải nộp thuế TNCN. Trường hợp bên thuê trả tiền thuê tài sản trước cho nhiều năm thì mức doanh thu để xác định cá nhân phải nộp thuế hay không phải nộp thuế là doanh thu trả tiền một lần được phân bổ theo năm dương lịch.”</w:t>
      </w:r>
    </w:p>
    <w:p w14:paraId="38274351"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khoản 5 Điều 17 như sau:</w:t>
      </w:r>
    </w:p>
    <w:p w14:paraId="554E4787"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giải pháp, lộ trình cung cấp thông tin theo hình thức điện tử từ các Sàn giao dịch thương mại điện tử đến cơ quan thuế nhằm mục đích xây dựng cơ sở dữ liệu về quản lý thuế theo rủi ro, đảm bảo yêu cầu về bảo mật thông tin theo quy định, tạo điều kiện thuận lợi cho hoạt động của Sàn giao dịch thương mại điện tử. Tổng cục Thuế hướng dẫn về việc chia sẻ và cung cấp thông tin giữa cơ quan thuế và Sàn giao dịch thương mại điện tử.”</w:t>
      </w:r>
    </w:p>
    <w:p w14:paraId="371ADC5C"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Bổ sung khoản 6 Điều 18 như sau:</w:t>
      </w:r>
    </w:p>
    <w:p w14:paraId="1C8498DB"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Trong trường hợp tổ chức là chủ sở hữu Sàn giao dịch thương mại điện tử không thực hiện khai thuế thay, nộp thuế thay cho cá nhân kinh doanh thông qua Sàn trên cơ sở ủy quyền theo quy </w:t>
      </w:r>
      <w:r>
        <w:rPr>
          <w:rFonts w:ascii="Arial" w:hAnsi="Arial" w:cs="Arial"/>
          <w:color w:val="000000"/>
          <w:sz w:val="21"/>
          <w:szCs w:val="21"/>
        </w:rPr>
        <w:lastRenderedPageBreak/>
        <w:t>định của pháp luật dân sự thì Cục Thuế phối hợp với Sàn giao dịch thương mại điện tử trong việc chia sẻ và cung cấp thông tin của cá nhân kinh doanh thông qua Sàn theo hướng dẫn của Tổng cục Thuế để quản lý thuế theo quy định của pháp luật.”</w:t>
      </w:r>
    </w:p>
    <w:p w14:paraId="25E8BE76"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Thông tư này có hiệu lực thi hành kể từ ngày 01 tháng 01 năm 2022.</w:t>
      </w:r>
    </w:p>
    <w:p w14:paraId="6CDF717B" w14:textId="77777777" w:rsidR="00951A8F" w:rsidRDefault="00951A8F" w:rsidP="00951A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vướng mắc, đề nghị các tổ chức, cá nhân phản ánh kịp thời về Bộ Tài chính (Tổng cục Thuế) để nghiên cứu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7"/>
        <w:gridCol w:w="4007"/>
      </w:tblGrid>
      <w:tr w:rsidR="00951A8F" w14:paraId="055A8990" w14:textId="77777777" w:rsidTr="00951A8F">
        <w:trPr>
          <w:tblCellSpacing w:w="0" w:type="dxa"/>
        </w:trPr>
        <w:tc>
          <w:tcPr>
            <w:tcW w:w="4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179DD" w14:textId="77777777" w:rsidR="00951A8F" w:rsidRDefault="00951A8F">
            <w:pPr>
              <w:pStyle w:val="NormalWeb"/>
              <w:spacing w:after="90" w:afterAutospacing="0" w:line="345" w:lineRule="atLeast"/>
              <w:jc w:val="both"/>
              <w:rPr>
                <w:rFonts w:ascii="Arial" w:hAnsi="Arial" w:cs="Arial"/>
                <w:color w:val="000000"/>
                <w:sz w:val="21"/>
                <w:szCs w:val="21"/>
              </w:rPr>
            </w:pPr>
          </w:p>
          <w:p w14:paraId="607CE8A0" w14:textId="77777777" w:rsidR="00951A8F" w:rsidRDefault="00951A8F" w:rsidP="00951A8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Văn phòng Tổng bí thư;</w:t>
            </w:r>
            <w:r>
              <w:rPr>
                <w:rFonts w:ascii="Arial" w:hAnsi="Arial" w:cs="Arial"/>
                <w:color w:val="000000"/>
                <w:sz w:val="21"/>
                <w:szCs w:val="21"/>
              </w:rPr>
              <w:br/>
              <w:t>- Văn phòng Trung ương và các Ban của Đảng;</w:t>
            </w:r>
            <w:r>
              <w:rPr>
                <w:rFonts w:ascii="Arial" w:hAnsi="Arial" w:cs="Arial"/>
                <w:color w:val="000000"/>
                <w:sz w:val="21"/>
                <w:szCs w:val="21"/>
              </w:rPr>
              <w:br/>
              <w:t>- Hội đồng dân tộc và các Ủy ban của Quốc hội;</w:t>
            </w:r>
            <w:r>
              <w:rPr>
                <w:rFonts w:ascii="Arial" w:hAnsi="Arial" w:cs="Arial"/>
                <w:color w:val="000000"/>
                <w:sz w:val="21"/>
                <w:szCs w:val="21"/>
              </w:rPr>
              <w:br/>
              <w:t>- Toà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Trung ương Mặt trận Tổ quốc Việt Nam;</w:t>
            </w:r>
            <w:r>
              <w:rPr>
                <w:rFonts w:ascii="Arial" w:hAnsi="Arial" w:cs="Arial"/>
                <w:color w:val="000000"/>
                <w:sz w:val="21"/>
                <w:szCs w:val="21"/>
              </w:rPr>
              <w:br/>
              <w:t>- Các Bộ, cơ quan ngang Bộ, cơ quan thuộc Chính phủ;</w:t>
            </w:r>
            <w:r>
              <w:rPr>
                <w:rFonts w:ascii="Arial" w:hAnsi="Arial" w:cs="Arial"/>
                <w:color w:val="000000"/>
                <w:sz w:val="21"/>
                <w:szCs w:val="21"/>
              </w:rPr>
              <w:br/>
              <w:t>- Cơ quan Trung ương của các đoàn thể;</w:t>
            </w:r>
            <w:r>
              <w:rPr>
                <w:rFonts w:ascii="Arial" w:hAnsi="Arial" w:cs="Arial"/>
                <w:color w:val="000000"/>
                <w:sz w:val="21"/>
                <w:szCs w:val="21"/>
              </w:rPr>
              <w:br/>
              <w:t>- Cục Kiểm tra văn bản (Bộ Tư pháp);</w:t>
            </w:r>
            <w:r>
              <w:rPr>
                <w:rFonts w:ascii="Arial" w:hAnsi="Arial" w:cs="Arial"/>
                <w:color w:val="000000"/>
                <w:sz w:val="21"/>
                <w:szCs w:val="21"/>
              </w:rPr>
              <w:br/>
              <w:t>- Công báo; Website Chính phủ;</w:t>
            </w:r>
            <w:r>
              <w:rPr>
                <w:rFonts w:ascii="Arial" w:hAnsi="Arial" w:cs="Arial"/>
                <w:color w:val="000000"/>
                <w:sz w:val="21"/>
                <w:szCs w:val="21"/>
              </w:rPr>
              <w:br/>
              <w:t>- HĐND các tỉnh, thành phố trực thuộc Trung ương;</w:t>
            </w:r>
            <w:r>
              <w:rPr>
                <w:rFonts w:ascii="Arial" w:hAnsi="Arial" w:cs="Arial"/>
                <w:color w:val="000000"/>
                <w:sz w:val="21"/>
                <w:szCs w:val="21"/>
              </w:rPr>
              <w:br/>
              <w:t>- UBND các tỉnh, thành phố trực thuộc Trung ương;</w:t>
            </w:r>
            <w:r>
              <w:rPr>
                <w:rFonts w:ascii="Arial" w:hAnsi="Arial" w:cs="Arial"/>
                <w:color w:val="000000"/>
                <w:sz w:val="21"/>
                <w:szCs w:val="21"/>
              </w:rPr>
              <w:br/>
              <w:t>- Cục Thuế tỉnh, thành phố trực thuộc Trung ương;</w:t>
            </w:r>
            <w:r>
              <w:rPr>
                <w:rFonts w:ascii="Arial" w:hAnsi="Arial" w:cs="Arial"/>
                <w:color w:val="000000"/>
                <w:sz w:val="21"/>
                <w:szCs w:val="21"/>
              </w:rPr>
              <w:br/>
              <w:t>- Cục Hải quan các tỉnh, TP trực thuộc Trung ương;</w:t>
            </w:r>
            <w:r>
              <w:rPr>
                <w:rFonts w:ascii="Arial" w:hAnsi="Arial" w:cs="Arial"/>
                <w:color w:val="000000"/>
                <w:sz w:val="21"/>
                <w:szCs w:val="21"/>
              </w:rPr>
              <w:br/>
              <w:t>- Các đơn vị thuộc, trực thuộc BTC;</w:t>
            </w:r>
            <w:r>
              <w:rPr>
                <w:rFonts w:ascii="Arial" w:hAnsi="Arial" w:cs="Arial"/>
                <w:color w:val="000000"/>
                <w:sz w:val="21"/>
                <w:szCs w:val="21"/>
              </w:rPr>
              <w:br/>
              <w:t>- Website Bộ Tài chính, Website Tổng cục Thuế;</w:t>
            </w:r>
            <w:r>
              <w:rPr>
                <w:rFonts w:ascii="Arial" w:hAnsi="Arial" w:cs="Arial"/>
                <w:color w:val="000000"/>
                <w:sz w:val="21"/>
                <w:szCs w:val="21"/>
              </w:rPr>
              <w:br/>
              <w:t>- Lưu: VT, TCT (VT, DNNCN).</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53E0F" w14:textId="77777777" w:rsidR="00951A8F" w:rsidRDefault="00951A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Xuân Hà</w:t>
            </w:r>
          </w:p>
        </w:tc>
      </w:tr>
    </w:tbl>
    <w:p w14:paraId="29E29492" w14:textId="7B1DF014" w:rsidR="008100A5" w:rsidRPr="00951A8F" w:rsidRDefault="008100A5" w:rsidP="00951A8F"/>
    <w:sectPr w:rsidR="008100A5" w:rsidRPr="00951A8F" w:rsidSect="00EF16BB">
      <w:headerReference w:type="even" r:id="rId18"/>
      <w:headerReference w:type="default" r:id="rId19"/>
      <w:footerReference w:type="even" r:id="rId20"/>
      <w:footerReference w:type="default" r:id="rId21"/>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2BED2" w14:textId="77777777" w:rsidR="00683699" w:rsidRDefault="00683699">
      <w:r>
        <w:separator/>
      </w:r>
    </w:p>
  </w:endnote>
  <w:endnote w:type="continuationSeparator" w:id="0">
    <w:p w14:paraId="238F9968" w14:textId="77777777" w:rsidR="00683699" w:rsidRDefault="0068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37A4C" w14:textId="77777777" w:rsidR="00683699" w:rsidRDefault="00683699">
      <w:r>
        <w:separator/>
      </w:r>
    </w:p>
  </w:footnote>
  <w:footnote w:type="continuationSeparator" w:id="0">
    <w:p w14:paraId="40AA41BE" w14:textId="77777777" w:rsidR="00683699" w:rsidRDefault="0068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8369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5555"/>
    <w:rsid w:val="003D585B"/>
    <w:rsid w:val="003D7634"/>
    <w:rsid w:val="003E1C81"/>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506FDA"/>
    <w:rsid w:val="005102E6"/>
    <w:rsid w:val="00511564"/>
    <w:rsid w:val="00511A82"/>
    <w:rsid w:val="00514A25"/>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B4532"/>
    <w:rsid w:val="005C3EEE"/>
    <w:rsid w:val="005C5BA0"/>
    <w:rsid w:val="005C772A"/>
    <w:rsid w:val="005D1905"/>
    <w:rsid w:val="005D1E56"/>
    <w:rsid w:val="005D5127"/>
    <w:rsid w:val="005E185E"/>
    <w:rsid w:val="005E6685"/>
    <w:rsid w:val="005E66BE"/>
    <w:rsid w:val="00616DBD"/>
    <w:rsid w:val="00622A3C"/>
    <w:rsid w:val="00627D09"/>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83699"/>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5254"/>
    <w:rsid w:val="008657B8"/>
    <w:rsid w:val="00865889"/>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1A8F"/>
    <w:rsid w:val="009521CF"/>
    <w:rsid w:val="00953A4E"/>
    <w:rsid w:val="00955836"/>
    <w:rsid w:val="00955952"/>
    <w:rsid w:val="00955E3A"/>
    <w:rsid w:val="0095715F"/>
    <w:rsid w:val="009635E0"/>
    <w:rsid w:val="00966AA6"/>
    <w:rsid w:val="00973004"/>
    <w:rsid w:val="00984C87"/>
    <w:rsid w:val="0098730C"/>
    <w:rsid w:val="009A17D9"/>
    <w:rsid w:val="009A4E3A"/>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A7FCC"/>
    <w:rsid w:val="00AB054F"/>
    <w:rsid w:val="00AB1505"/>
    <w:rsid w:val="00AB3BAB"/>
    <w:rsid w:val="00AC0BD9"/>
    <w:rsid w:val="00AC2D3E"/>
    <w:rsid w:val="00AC38B3"/>
    <w:rsid w:val="00AC48E0"/>
    <w:rsid w:val="00AC5290"/>
    <w:rsid w:val="00AD22F3"/>
    <w:rsid w:val="00AE05E6"/>
    <w:rsid w:val="00AE4E46"/>
    <w:rsid w:val="00AE5F1E"/>
    <w:rsid w:val="00AF4C87"/>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2B02"/>
    <w:rsid w:val="00C2317D"/>
    <w:rsid w:val="00C26ECB"/>
    <w:rsid w:val="00C32A6C"/>
    <w:rsid w:val="00C33159"/>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13A"/>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16AD2"/>
    <w:rsid w:val="00E217EF"/>
    <w:rsid w:val="00E26531"/>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473F"/>
    <w:rsid w:val="00F05FA3"/>
    <w:rsid w:val="00F06D40"/>
    <w:rsid w:val="00F11343"/>
    <w:rsid w:val="00F15D69"/>
    <w:rsid w:val="00F25B95"/>
    <w:rsid w:val="00F266FB"/>
    <w:rsid w:val="00F331F2"/>
    <w:rsid w:val="00F3777D"/>
    <w:rsid w:val="00F37851"/>
    <w:rsid w:val="00F40520"/>
    <w:rsid w:val="00F43F00"/>
    <w:rsid w:val="00F50BB1"/>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hue-thu-nhap-ca-nhan-sua-doi-bo-sung-nam-2012.aspx" TargetMode="External"/><Relationship Id="rId13" Type="http://schemas.openxmlformats.org/officeDocument/2006/relationships/hyperlink" Target="https://admin.luatminhkhue.vn/van-ban/nghi-dinh-so-209-2013-nd-cp-quy-dinh-chi-tiet-va-huong-dan-thi-hanh-mot-so-dieu-luat-thue-gia-tri-gia-tang.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admin.luatminhkhue.vn/van-ban/luat-thue-thu-nhap-ca-nhan-nam-2007.aspx" TargetMode="External"/><Relationship Id="rId12" Type="http://schemas.openxmlformats.org/officeDocument/2006/relationships/hyperlink" Target="https://admin.luatminhkhue.vn/van-ban/luat-quan-ly-thue-nam-2019.aspx" TargetMode="External"/><Relationship Id="rId17" Type="http://schemas.openxmlformats.org/officeDocument/2006/relationships/hyperlink" Target="https://admin.luatminhkhue.vn/van-ban/thong-tu-so-402021tt-btc-huong-dan-thue-gia-tri-gia-tang-thue-thu-nhap-ca-nhan.aspx" TargetMode="External"/><Relationship Id="rId2" Type="http://schemas.openxmlformats.org/officeDocument/2006/relationships/styles" Target="styles.xml"/><Relationship Id="rId16" Type="http://schemas.openxmlformats.org/officeDocument/2006/relationships/hyperlink" Target="https://admin.luatminhkhue.vn/van-ban/nghi-dinh-87-2017-nd-cp-chuc-nang-nhiem-vu-quyen-han-va-co-cau-to-chuc-cua-bo-tai-chinh.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thue-sua-doi-bo-sung-nam-2014-so-71-2014-qh13.aspx" TargetMode="External"/><Relationship Id="rId5" Type="http://schemas.openxmlformats.org/officeDocument/2006/relationships/footnotes" Target="footnotes.xml"/><Relationship Id="rId15" Type="http://schemas.openxmlformats.org/officeDocument/2006/relationships/hyperlink" Target="https://admin.luatminhkhue.vn/van-ban/nghi-dinh-126-2020-nd-cp-huong-dan-luat-quan-ly-thue.aspx" TargetMode="External"/><Relationship Id="rId23" Type="http://schemas.openxmlformats.org/officeDocument/2006/relationships/theme" Target="theme/theme1.xml"/><Relationship Id="rId10" Type="http://schemas.openxmlformats.org/officeDocument/2006/relationships/hyperlink" Target="https://admin.luatminhkhue.vn/van-ban/luat-thue-gia-tri-gia-tang-sua-doi-nam-2013.asp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dmin.luatminhkhue.vn/van-ban/luat-thue-gia-tri-gia-tang-nam-2008.aspx" TargetMode="External"/><Relationship Id="rId14" Type="http://schemas.openxmlformats.org/officeDocument/2006/relationships/hyperlink" Target="https://admin.luatminhkhue.vn/van-ban/nghi-dinh-12-2015-nd-cp-huong-dan-luat-ve-thue-sua-doi.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3</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310</cp:revision>
  <dcterms:created xsi:type="dcterms:W3CDTF">2024-12-02T03:13:00Z</dcterms:created>
  <dcterms:modified xsi:type="dcterms:W3CDTF">2025-01-09T09:26:00Z</dcterms:modified>
</cp:coreProperties>
</file>