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704CA0" w14:textId="77777777" w:rsidR="005D2D8F" w:rsidRDefault="005D2D8F" w:rsidP="005D2D8F">
      <w:pPr>
        <w:rPr>
          <w:szCs w:val="24"/>
          <w:lang w:val="en-VN"/>
        </w:rPr>
      </w:pP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397"/>
        <w:gridCol w:w="5607"/>
      </w:tblGrid>
      <w:tr w:rsidR="005D2D8F" w14:paraId="27FF46E5" w14:textId="77777777" w:rsidTr="005D2D8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386494" w14:textId="77777777" w:rsidR="005D2D8F" w:rsidRDefault="005D2D8F">
            <w:pPr>
              <w:spacing w:line="375" w:lineRule="atLeast"/>
              <w:jc w:val="center"/>
              <w:rPr>
                <w:rFonts w:ascii="Arial" w:hAnsi="Arial" w:cs="Arial"/>
                <w:color w:val="000000"/>
                <w:sz w:val="21"/>
                <w:szCs w:val="21"/>
              </w:rPr>
            </w:pPr>
            <w:r>
              <w:rPr>
                <w:rStyle w:val="Strong"/>
                <w:rFonts w:ascii="Arial" w:hAnsi="Arial" w:cs="Arial"/>
                <w:color w:val="000000"/>
                <w:sz w:val="21"/>
                <w:szCs w:val="21"/>
              </w:rPr>
              <w:t>NGÂN HÀNG NHÀ NƯỚC</w:t>
            </w:r>
            <w:r>
              <w:rPr>
                <w:rFonts w:ascii="Arial" w:hAnsi="Arial" w:cs="Arial"/>
                <w:color w:val="000000"/>
                <w:sz w:val="21"/>
                <w:szCs w:val="21"/>
              </w:rPr>
              <w:br/>
            </w:r>
            <w:r>
              <w:rPr>
                <w:rStyle w:val="Strong"/>
                <w:rFonts w:ascii="Arial" w:hAnsi="Arial" w:cs="Arial"/>
                <w:color w:val="000000"/>
                <w:sz w:val="21"/>
                <w:szCs w:val="21"/>
              </w:rPr>
              <w:t>VIỆT NAM</w:t>
            </w:r>
            <w:r>
              <w:rPr>
                <w:rFonts w:ascii="Arial" w:hAnsi="Arial" w:cs="Arial"/>
                <w:color w:val="000000"/>
                <w:sz w:val="21"/>
                <w:szCs w:val="21"/>
              </w:rPr>
              <w:br/>
            </w:r>
            <w:r>
              <w:rPr>
                <w:rStyle w:val="Strong"/>
                <w:rFonts w:ascii="Arial" w:hAnsi="Arial" w:cs="Arial"/>
                <w:color w:val="000000"/>
                <w:sz w:val="21"/>
                <w:szCs w:val="21"/>
              </w:rPr>
              <w:t>-------</w:t>
            </w:r>
          </w:p>
          <w:p w14:paraId="5E773C0F" w14:textId="77777777" w:rsidR="005D2D8F" w:rsidRDefault="005D2D8F">
            <w:pPr>
              <w:spacing w:line="375" w:lineRule="atLeast"/>
              <w:jc w:val="center"/>
              <w:rPr>
                <w:rFonts w:ascii="Arial" w:hAnsi="Arial" w:cs="Arial"/>
                <w:color w:val="000000"/>
                <w:sz w:val="21"/>
                <w:szCs w:val="21"/>
              </w:rPr>
            </w:pPr>
            <w:r>
              <w:rPr>
                <w:rFonts w:ascii="Arial" w:hAnsi="Arial" w:cs="Arial"/>
                <w:color w:val="000000"/>
                <w:sz w:val="21"/>
                <w:szCs w:val="21"/>
              </w:rPr>
              <w:t>Số: </w:t>
            </w:r>
            <w:hyperlink r:id="rId7" w:history="1">
              <w:r>
                <w:rPr>
                  <w:rStyle w:val="Hyperlink"/>
                  <w:rFonts w:ascii="Arial" w:hAnsi="Arial" w:cs="Arial"/>
                  <w:color w:val="135ECD"/>
                  <w:sz w:val="21"/>
                  <w:szCs w:val="21"/>
                </w:rPr>
                <w:t>31/2014/TT-NHNN</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47F16E" w14:textId="77777777" w:rsidR="005D2D8F" w:rsidRDefault="005D2D8F">
            <w:pPr>
              <w:spacing w:line="37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p>
          <w:p w14:paraId="2605C49B" w14:textId="77777777" w:rsidR="005D2D8F" w:rsidRDefault="005D2D8F">
            <w:pPr>
              <w:spacing w:line="375" w:lineRule="atLeast"/>
              <w:jc w:val="center"/>
              <w:rPr>
                <w:rFonts w:ascii="Arial" w:hAnsi="Arial" w:cs="Arial"/>
                <w:color w:val="000000"/>
                <w:sz w:val="21"/>
                <w:szCs w:val="21"/>
              </w:rPr>
            </w:pP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46543843" w14:textId="77777777" w:rsidR="005D2D8F" w:rsidRDefault="005D2D8F">
            <w:pPr>
              <w:spacing w:line="375" w:lineRule="atLeast"/>
              <w:jc w:val="right"/>
              <w:rPr>
                <w:rFonts w:ascii="Arial" w:hAnsi="Arial" w:cs="Arial"/>
                <w:color w:val="000000"/>
                <w:sz w:val="21"/>
                <w:szCs w:val="21"/>
              </w:rPr>
            </w:pPr>
            <w:r>
              <w:rPr>
                <w:rStyle w:val="Emphasis"/>
                <w:rFonts w:ascii="Arial" w:hAnsi="Arial" w:cs="Arial"/>
                <w:color w:val="000000"/>
                <w:sz w:val="21"/>
                <w:szCs w:val="21"/>
              </w:rPr>
              <w:t>Hà Nội, ngày 11 tháng 11 năm 2014</w:t>
            </w:r>
          </w:p>
        </w:tc>
      </w:tr>
    </w:tbl>
    <w:p w14:paraId="074F8FE5" w14:textId="77777777" w:rsidR="005D2D8F" w:rsidRDefault="005D2D8F" w:rsidP="005D2D8F">
      <w:pPr>
        <w:spacing w:line="375" w:lineRule="atLeast"/>
        <w:jc w:val="center"/>
        <w:rPr>
          <w:rFonts w:ascii="Arial" w:hAnsi="Arial" w:cs="Arial"/>
          <w:color w:val="000000"/>
          <w:sz w:val="21"/>
          <w:szCs w:val="21"/>
        </w:rPr>
      </w:pPr>
    </w:p>
    <w:p w14:paraId="124FE95C" w14:textId="77777777" w:rsidR="005D2D8F" w:rsidRDefault="005D2D8F" w:rsidP="005D2D8F">
      <w:pPr>
        <w:spacing w:line="37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1EB8257F" w14:textId="77777777" w:rsidR="005D2D8F" w:rsidRDefault="005D2D8F" w:rsidP="005D2D8F">
      <w:pPr>
        <w:spacing w:line="375" w:lineRule="atLeast"/>
        <w:jc w:val="center"/>
        <w:rPr>
          <w:rFonts w:ascii="Arial" w:hAnsi="Arial" w:cs="Arial"/>
          <w:color w:val="000000"/>
          <w:sz w:val="21"/>
          <w:szCs w:val="21"/>
        </w:rPr>
      </w:pPr>
      <w:r>
        <w:rPr>
          <w:rStyle w:val="Strong"/>
          <w:rFonts w:ascii="Arial" w:hAnsi="Arial" w:cs="Arial"/>
          <w:color w:val="000000"/>
          <w:sz w:val="21"/>
          <w:szCs w:val="21"/>
        </w:rPr>
        <w:t>SỬA ĐỔI, BỔ SUNG MỘT SỐ ĐIỀU CỦA THÔNG TƯ SỐ </w:t>
      </w:r>
      <w:hyperlink r:id="rId8" w:history="1">
        <w:r>
          <w:rPr>
            <w:rStyle w:val="Hyperlink"/>
            <w:rFonts w:ascii="Arial" w:hAnsi="Arial" w:cs="Arial"/>
            <w:b/>
            <w:bCs/>
            <w:color w:val="135ECD"/>
            <w:sz w:val="21"/>
            <w:szCs w:val="21"/>
          </w:rPr>
          <w:t>35/2013/TT-NHNN </w:t>
        </w:r>
      </w:hyperlink>
      <w:r>
        <w:rPr>
          <w:rStyle w:val="Strong"/>
          <w:rFonts w:ascii="Arial" w:hAnsi="Arial" w:cs="Arial"/>
          <w:color w:val="000000"/>
          <w:sz w:val="21"/>
          <w:szCs w:val="21"/>
        </w:rPr>
        <w:t>NGÀY 31 THÁNG 12 NĂM 2013 HƯỚNG DẪN THỰC HIỆN MỘT SỐ QUY ĐỊNH VỀ PHÒNG, CHỐNG RỬA TIỀN</w:t>
      </w:r>
    </w:p>
    <w:p w14:paraId="19834006" w14:textId="77777777" w:rsidR="005D2D8F" w:rsidRDefault="005D2D8F" w:rsidP="005D2D8F">
      <w:pPr>
        <w:spacing w:line="37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Ngân hàng Nhà nước Việt Nam</w:t>
        </w:r>
      </w:hyperlink>
      <w:r>
        <w:rPr>
          <w:rStyle w:val="Emphasis"/>
          <w:rFonts w:ascii="Arial" w:hAnsi="Arial" w:cs="Arial"/>
          <w:color w:val="000000"/>
          <w:sz w:val="21"/>
          <w:szCs w:val="21"/>
        </w:rPr>
        <w:t> số 46/2010/QH12 ngày 16 tháng 6 năm 2010;</w:t>
      </w:r>
    </w:p>
    <w:p w14:paraId="5B3BD336" w14:textId="77777777" w:rsidR="005D2D8F" w:rsidRDefault="005D2D8F" w:rsidP="005D2D8F">
      <w:pPr>
        <w:spacing w:line="37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Luật phòng, chống rửa tiền</w:t>
        </w:r>
      </w:hyperlink>
      <w:r>
        <w:rPr>
          <w:rStyle w:val="Emphasis"/>
          <w:rFonts w:ascii="Arial" w:hAnsi="Arial" w:cs="Arial"/>
          <w:color w:val="000000"/>
          <w:sz w:val="21"/>
          <w:szCs w:val="21"/>
        </w:rPr>
        <w:t> số 07/2012/QH13 ngày 18 tháng 6 năm 2012;</w:t>
      </w:r>
    </w:p>
    <w:p w14:paraId="21229ED4" w14:textId="77777777" w:rsidR="005D2D8F" w:rsidRDefault="005D2D8F" w:rsidP="005D2D8F">
      <w:pPr>
        <w:spacing w:line="37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1" w:history="1">
        <w:r>
          <w:rPr>
            <w:rStyle w:val="Hyperlink"/>
            <w:rFonts w:ascii="Arial" w:hAnsi="Arial" w:cs="Arial"/>
            <w:i/>
            <w:iCs/>
            <w:color w:val="135ECD"/>
            <w:sz w:val="21"/>
            <w:szCs w:val="21"/>
          </w:rPr>
          <w:t>Luật phòng, chống khủng bố</w:t>
        </w:r>
      </w:hyperlink>
      <w:r>
        <w:rPr>
          <w:rStyle w:val="Emphasis"/>
          <w:rFonts w:ascii="Arial" w:hAnsi="Arial" w:cs="Arial"/>
          <w:color w:val="000000"/>
          <w:sz w:val="21"/>
          <w:szCs w:val="21"/>
        </w:rPr>
        <w:t> số 28/2013/QH13 ngày 12 tháng 6 năm 2013;</w:t>
      </w:r>
    </w:p>
    <w:p w14:paraId="4833E72F" w14:textId="77777777" w:rsidR="005D2D8F" w:rsidRDefault="005D2D8F" w:rsidP="005D2D8F">
      <w:pPr>
        <w:spacing w:line="37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2" w:history="1">
        <w:r>
          <w:rPr>
            <w:rStyle w:val="Hyperlink"/>
            <w:rFonts w:ascii="Arial" w:hAnsi="Arial" w:cs="Arial"/>
            <w:i/>
            <w:iCs/>
            <w:color w:val="135ECD"/>
            <w:sz w:val="21"/>
            <w:szCs w:val="21"/>
          </w:rPr>
          <w:t>116/2013/NĐ-CP </w:t>
        </w:r>
      </w:hyperlink>
      <w:r>
        <w:rPr>
          <w:rStyle w:val="Emphasis"/>
          <w:rFonts w:ascii="Arial" w:hAnsi="Arial" w:cs="Arial"/>
          <w:color w:val="000000"/>
          <w:sz w:val="21"/>
          <w:szCs w:val="21"/>
        </w:rPr>
        <w:t>ngày 04 tháng 10 năm 2013 của Chính phủ quy định chi tiết thi hành một số điều của Luật phòng, chống rửa tiền;</w:t>
      </w:r>
    </w:p>
    <w:p w14:paraId="0A38CA72" w14:textId="77777777" w:rsidR="005D2D8F" w:rsidRDefault="005D2D8F" w:rsidP="005D2D8F">
      <w:pPr>
        <w:spacing w:line="37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3" w:history="1">
        <w:r>
          <w:rPr>
            <w:rStyle w:val="Hyperlink"/>
            <w:rFonts w:ascii="Arial" w:hAnsi="Arial" w:cs="Arial"/>
            <w:i/>
            <w:iCs/>
            <w:color w:val="135ECD"/>
            <w:sz w:val="21"/>
            <w:szCs w:val="21"/>
          </w:rPr>
          <w:t>156/2013/NĐ-CP </w:t>
        </w:r>
      </w:hyperlink>
      <w:r>
        <w:rPr>
          <w:rStyle w:val="Emphasis"/>
          <w:rFonts w:ascii="Arial" w:hAnsi="Arial" w:cs="Arial"/>
          <w:color w:val="000000"/>
          <w:sz w:val="21"/>
          <w:szCs w:val="21"/>
        </w:rPr>
        <w:t>ngày 11 tháng 11 năm 2013 của Chính phủ quy định chức năng, nhiệm vụ, quyền hạn và cơ cấu tổ chức của Ngân hàng Nhà nước Việt Nam;</w:t>
      </w:r>
    </w:p>
    <w:p w14:paraId="3FBB3F1F" w14:textId="77777777" w:rsidR="005D2D8F" w:rsidRDefault="005D2D8F" w:rsidP="005D2D8F">
      <w:pPr>
        <w:spacing w:line="375" w:lineRule="atLeast"/>
        <w:jc w:val="both"/>
        <w:rPr>
          <w:rFonts w:ascii="Arial" w:hAnsi="Arial" w:cs="Arial"/>
          <w:color w:val="000000"/>
          <w:sz w:val="21"/>
          <w:szCs w:val="21"/>
        </w:rPr>
      </w:pPr>
      <w:r>
        <w:rPr>
          <w:rStyle w:val="Emphasis"/>
          <w:rFonts w:ascii="Arial" w:hAnsi="Arial" w:cs="Arial"/>
          <w:color w:val="000000"/>
          <w:sz w:val="21"/>
          <w:szCs w:val="21"/>
        </w:rPr>
        <w:t>Theo đề nghị của Chánh Thanh tra, giám sát ngân hàng;</w:t>
      </w:r>
    </w:p>
    <w:p w14:paraId="0D715B96" w14:textId="77777777" w:rsidR="005D2D8F" w:rsidRDefault="005D2D8F" w:rsidP="005D2D8F">
      <w:pPr>
        <w:spacing w:line="375" w:lineRule="atLeast"/>
        <w:jc w:val="both"/>
        <w:rPr>
          <w:rFonts w:ascii="Arial" w:hAnsi="Arial" w:cs="Arial"/>
          <w:color w:val="000000"/>
          <w:sz w:val="21"/>
          <w:szCs w:val="21"/>
        </w:rPr>
      </w:pPr>
      <w:r>
        <w:rPr>
          <w:rStyle w:val="Emphasis"/>
          <w:rFonts w:ascii="Arial" w:hAnsi="Arial" w:cs="Arial"/>
          <w:color w:val="000000"/>
          <w:sz w:val="21"/>
          <w:szCs w:val="21"/>
        </w:rPr>
        <w:t>Thống đốc Ngân hàng Nhà nước Việt Nam ban hành Thông tư sửa đổi, bổ sung một số điều của Thông tư số 35/2013/TT-NHNN ngày 31 tháng 12 năm 2013 hướng dẫn thực hiện một số quy định về phòng, chống rửa tiền (sau đây gọi tắt là Thông tư </w:t>
      </w:r>
      <w:hyperlink r:id="rId14" w:history="1">
        <w:r>
          <w:rPr>
            <w:rStyle w:val="Hyperlink"/>
            <w:rFonts w:ascii="Arial" w:hAnsi="Arial" w:cs="Arial"/>
            <w:i/>
            <w:iCs/>
            <w:color w:val="135ECD"/>
            <w:sz w:val="21"/>
            <w:szCs w:val="21"/>
          </w:rPr>
          <w:t>35/2013/TT-NHNN</w:t>
        </w:r>
      </w:hyperlink>
      <w:r>
        <w:rPr>
          <w:rStyle w:val="Emphasis"/>
          <w:rFonts w:ascii="Arial" w:hAnsi="Arial" w:cs="Arial"/>
          <w:color w:val="000000"/>
          <w:sz w:val="21"/>
          <w:szCs w:val="21"/>
        </w:rPr>
        <w:t>).</w:t>
      </w:r>
    </w:p>
    <w:p w14:paraId="50D33C5E" w14:textId="77777777" w:rsidR="005D2D8F" w:rsidRDefault="005D2D8F" w:rsidP="005D2D8F">
      <w:pPr>
        <w:spacing w:line="37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một số điều của Thông tư số 35/2013/TT-NHNN như sau:</w:t>
      </w:r>
    </w:p>
    <w:p w14:paraId="52BFC8CD" w14:textId="77777777" w:rsidR="005D2D8F" w:rsidRDefault="005D2D8F" w:rsidP="005D2D8F">
      <w:pPr>
        <w:spacing w:line="375" w:lineRule="atLeast"/>
        <w:jc w:val="both"/>
        <w:rPr>
          <w:rFonts w:ascii="Arial" w:hAnsi="Arial" w:cs="Arial"/>
          <w:color w:val="000000"/>
          <w:sz w:val="21"/>
          <w:szCs w:val="21"/>
        </w:rPr>
      </w:pPr>
      <w:r>
        <w:rPr>
          <w:rFonts w:ascii="Arial" w:hAnsi="Arial" w:cs="Arial"/>
          <w:color w:val="000000"/>
          <w:sz w:val="21"/>
          <w:szCs w:val="21"/>
        </w:rPr>
        <w:t>1. Khoản 2, 3, 4 Điều 3 được sửa đổi như sau:</w:t>
      </w:r>
    </w:p>
    <w:p w14:paraId="22873478" w14:textId="77777777" w:rsidR="005D2D8F" w:rsidRDefault="005D2D8F" w:rsidP="005D2D8F">
      <w:pPr>
        <w:spacing w:line="375" w:lineRule="atLeast"/>
        <w:jc w:val="both"/>
        <w:rPr>
          <w:rFonts w:ascii="Arial" w:hAnsi="Arial" w:cs="Arial"/>
          <w:color w:val="000000"/>
          <w:sz w:val="21"/>
          <w:szCs w:val="21"/>
        </w:rPr>
      </w:pPr>
      <w:r>
        <w:rPr>
          <w:rFonts w:ascii="Arial" w:hAnsi="Arial" w:cs="Arial"/>
          <w:color w:val="000000"/>
          <w:sz w:val="21"/>
          <w:szCs w:val="21"/>
        </w:rPr>
        <w:t>“2. Thu thập bổ sung các thông tin sau:</w:t>
      </w:r>
    </w:p>
    <w:p w14:paraId="37F4AAD3" w14:textId="77777777" w:rsidR="005D2D8F" w:rsidRDefault="005D2D8F" w:rsidP="005D2D8F">
      <w:pPr>
        <w:spacing w:line="375" w:lineRule="atLeast"/>
        <w:jc w:val="both"/>
        <w:rPr>
          <w:rFonts w:ascii="Arial" w:hAnsi="Arial" w:cs="Arial"/>
          <w:color w:val="000000"/>
          <w:sz w:val="21"/>
          <w:szCs w:val="21"/>
        </w:rPr>
      </w:pPr>
      <w:r>
        <w:rPr>
          <w:rFonts w:ascii="Arial" w:hAnsi="Arial" w:cs="Arial"/>
          <w:color w:val="000000"/>
          <w:sz w:val="21"/>
          <w:szCs w:val="21"/>
        </w:rPr>
        <w:t>a) Đối với khách hàng là cá nhân:</w:t>
      </w:r>
    </w:p>
    <w:p w14:paraId="404A2237" w14:textId="77777777" w:rsidR="005D2D8F" w:rsidRDefault="005D2D8F" w:rsidP="005D2D8F">
      <w:pPr>
        <w:spacing w:line="375" w:lineRule="atLeast"/>
        <w:jc w:val="both"/>
        <w:rPr>
          <w:rFonts w:ascii="Arial" w:hAnsi="Arial" w:cs="Arial"/>
          <w:color w:val="000000"/>
          <w:sz w:val="21"/>
          <w:szCs w:val="21"/>
        </w:rPr>
      </w:pPr>
      <w:r>
        <w:rPr>
          <w:rFonts w:ascii="Arial" w:hAnsi="Arial" w:cs="Arial"/>
          <w:color w:val="000000"/>
          <w:sz w:val="21"/>
          <w:szCs w:val="21"/>
        </w:rPr>
        <w:t>- Mức thu nhập trung bình hàng tháng trong vòng ít nhất 3 (ba) tháng gần nhất của khách hàng;</w:t>
      </w:r>
    </w:p>
    <w:p w14:paraId="770F6F58" w14:textId="77777777" w:rsidR="005D2D8F" w:rsidRDefault="005D2D8F" w:rsidP="005D2D8F">
      <w:pPr>
        <w:spacing w:line="375" w:lineRule="atLeast"/>
        <w:jc w:val="both"/>
        <w:rPr>
          <w:rFonts w:ascii="Arial" w:hAnsi="Arial" w:cs="Arial"/>
          <w:color w:val="000000"/>
          <w:sz w:val="21"/>
          <w:szCs w:val="21"/>
        </w:rPr>
      </w:pPr>
      <w:r>
        <w:rPr>
          <w:rFonts w:ascii="Arial" w:hAnsi="Arial" w:cs="Arial"/>
          <w:color w:val="000000"/>
          <w:sz w:val="21"/>
          <w:szCs w:val="21"/>
        </w:rPr>
        <w:t>- Tên, địa chỉ, số điện thoại liên lạc của cơ quan, tổ chức hoặc chủ cơ sở nơi làm việc hoặc có thu nhập chính.</w:t>
      </w:r>
    </w:p>
    <w:p w14:paraId="262F7B3B" w14:textId="77777777" w:rsidR="005D2D8F" w:rsidRDefault="005D2D8F" w:rsidP="005D2D8F">
      <w:pPr>
        <w:spacing w:line="375" w:lineRule="atLeast"/>
        <w:jc w:val="both"/>
        <w:rPr>
          <w:rFonts w:ascii="Arial" w:hAnsi="Arial" w:cs="Arial"/>
          <w:color w:val="000000"/>
          <w:sz w:val="21"/>
          <w:szCs w:val="21"/>
        </w:rPr>
      </w:pPr>
      <w:r>
        <w:rPr>
          <w:rFonts w:ascii="Arial" w:hAnsi="Arial" w:cs="Arial"/>
          <w:color w:val="000000"/>
          <w:sz w:val="21"/>
          <w:szCs w:val="21"/>
        </w:rPr>
        <w:t>b) Đối với khách hàng là tổ chức:</w:t>
      </w:r>
    </w:p>
    <w:p w14:paraId="06974E72" w14:textId="77777777" w:rsidR="005D2D8F" w:rsidRDefault="005D2D8F" w:rsidP="005D2D8F">
      <w:pPr>
        <w:spacing w:line="375" w:lineRule="atLeast"/>
        <w:jc w:val="both"/>
        <w:rPr>
          <w:rFonts w:ascii="Arial" w:hAnsi="Arial" w:cs="Arial"/>
          <w:color w:val="000000"/>
          <w:sz w:val="21"/>
          <w:szCs w:val="21"/>
        </w:rPr>
      </w:pPr>
      <w:r>
        <w:rPr>
          <w:rFonts w:ascii="Arial" w:hAnsi="Arial" w:cs="Arial"/>
          <w:color w:val="000000"/>
          <w:sz w:val="21"/>
          <w:szCs w:val="21"/>
        </w:rPr>
        <w:t>- Ngành, nghề sản xuất, kinh doanh, dịch vụ tạo doanh thu chính;</w:t>
      </w:r>
    </w:p>
    <w:p w14:paraId="75A90DE1" w14:textId="77777777" w:rsidR="005D2D8F" w:rsidRDefault="005D2D8F" w:rsidP="005D2D8F">
      <w:pPr>
        <w:spacing w:line="375" w:lineRule="atLeast"/>
        <w:jc w:val="both"/>
        <w:rPr>
          <w:rFonts w:ascii="Arial" w:hAnsi="Arial" w:cs="Arial"/>
          <w:color w:val="000000"/>
          <w:sz w:val="21"/>
          <w:szCs w:val="21"/>
        </w:rPr>
      </w:pPr>
      <w:r>
        <w:rPr>
          <w:rFonts w:ascii="Arial" w:hAnsi="Arial" w:cs="Arial"/>
          <w:color w:val="000000"/>
          <w:sz w:val="21"/>
          <w:szCs w:val="21"/>
        </w:rPr>
        <w:t>- Tổng doanh thu trong 2 (hai) năm gần nhất;</w:t>
      </w:r>
    </w:p>
    <w:p w14:paraId="71865FDB" w14:textId="77777777" w:rsidR="005D2D8F" w:rsidRDefault="005D2D8F" w:rsidP="005D2D8F">
      <w:pPr>
        <w:spacing w:line="375" w:lineRule="atLeast"/>
        <w:jc w:val="both"/>
        <w:rPr>
          <w:rFonts w:ascii="Arial" w:hAnsi="Arial" w:cs="Arial"/>
          <w:color w:val="000000"/>
          <w:sz w:val="21"/>
          <w:szCs w:val="21"/>
        </w:rPr>
      </w:pPr>
      <w:r>
        <w:rPr>
          <w:rFonts w:ascii="Arial" w:hAnsi="Arial" w:cs="Arial"/>
          <w:color w:val="000000"/>
          <w:sz w:val="21"/>
          <w:szCs w:val="21"/>
        </w:rPr>
        <w:t>- Danh sách (họ tên, địa chỉ thường trú) thành viên Hội đồng quản trị hoặc Hội đồng thành viên, thành viên Ban điều hành, Kế toán trưởng hoặc tương đương;</w:t>
      </w:r>
    </w:p>
    <w:p w14:paraId="4B183CC9" w14:textId="77777777" w:rsidR="005D2D8F" w:rsidRDefault="005D2D8F" w:rsidP="005D2D8F">
      <w:pPr>
        <w:spacing w:line="375" w:lineRule="atLeast"/>
        <w:jc w:val="both"/>
        <w:rPr>
          <w:rFonts w:ascii="Arial" w:hAnsi="Arial" w:cs="Arial"/>
          <w:color w:val="000000"/>
          <w:sz w:val="21"/>
          <w:szCs w:val="21"/>
        </w:rPr>
      </w:pPr>
      <w:r>
        <w:rPr>
          <w:rFonts w:ascii="Arial" w:hAnsi="Arial" w:cs="Arial"/>
          <w:color w:val="000000"/>
          <w:sz w:val="21"/>
          <w:szCs w:val="21"/>
        </w:rPr>
        <w:t>- Tên, địa chỉ, người đại diện theo pháp luật hoặc theo ủy quyền của công ty mẹ (nếu khách hàng là công ty con) hoặc danh sách tên, địa chỉ, người đại diện theo pháp luật hoặc theo ủy quyền của chi nhánh, công ty con, văn phòng đại diện (nếu khách hàng là công ty mẹ).</w:t>
      </w:r>
    </w:p>
    <w:p w14:paraId="7BE0B7F8" w14:textId="77777777" w:rsidR="005D2D8F" w:rsidRDefault="005D2D8F" w:rsidP="005D2D8F">
      <w:pPr>
        <w:spacing w:line="375" w:lineRule="atLeast"/>
        <w:jc w:val="both"/>
        <w:rPr>
          <w:rFonts w:ascii="Arial" w:hAnsi="Arial" w:cs="Arial"/>
          <w:color w:val="000000"/>
          <w:sz w:val="21"/>
          <w:szCs w:val="21"/>
        </w:rPr>
      </w:pPr>
      <w:r>
        <w:rPr>
          <w:rFonts w:ascii="Arial" w:hAnsi="Arial" w:cs="Arial"/>
          <w:color w:val="000000"/>
          <w:sz w:val="21"/>
          <w:szCs w:val="21"/>
        </w:rPr>
        <w:lastRenderedPageBreak/>
        <w:t>3. Giám sát các giao dịch của khách hàng để đảm bảo giao dịch của khách hàng phù hợp với bản chất, mục đích thiết lập mối quan hệ và hoạt động của khách hàng; kịp thời phát hiện các giao dịch bất thường và xem xét báo cáo giao dịch đáng ngờ khi có đủ cơ sở hợp lý theo quy định của pháp luật.</w:t>
      </w:r>
    </w:p>
    <w:p w14:paraId="76FE93D6" w14:textId="77777777" w:rsidR="005D2D8F" w:rsidRDefault="005D2D8F" w:rsidP="005D2D8F">
      <w:pPr>
        <w:spacing w:line="375" w:lineRule="atLeast"/>
        <w:jc w:val="both"/>
        <w:rPr>
          <w:rFonts w:ascii="Arial" w:hAnsi="Arial" w:cs="Arial"/>
          <w:color w:val="000000"/>
          <w:sz w:val="21"/>
          <w:szCs w:val="21"/>
        </w:rPr>
      </w:pPr>
      <w:r>
        <w:rPr>
          <w:rFonts w:ascii="Arial" w:hAnsi="Arial" w:cs="Arial"/>
          <w:color w:val="000000"/>
          <w:sz w:val="21"/>
          <w:szCs w:val="21"/>
        </w:rPr>
        <w:t>4. Cập nhật thông tin định kỳ ít nhất 1 (một) năm một lần hoặc khi đối tượng báo cáo biết thông tin về khách hàng đã có sự thay đổi”.</w:t>
      </w:r>
    </w:p>
    <w:p w14:paraId="1F7A6491" w14:textId="77777777" w:rsidR="005D2D8F" w:rsidRDefault="005D2D8F" w:rsidP="005D2D8F">
      <w:pPr>
        <w:spacing w:line="375" w:lineRule="atLeast"/>
        <w:jc w:val="both"/>
        <w:rPr>
          <w:rFonts w:ascii="Arial" w:hAnsi="Arial" w:cs="Arial"/>
          <w:color w:val="000000"/>
          <w:sz w:val="21"/>
          <w:szCs w:val="21"/>
        </w:rPr>
      </w:pPr>
      <w:r>
        <w:rPr>
          <w:rFonts w:ascii="Arial" w:hAnsi="Arial" w:cs="Arial"/>
          <w:color w:val="000000"/>
          <w:sz w:val="21"/>
          <w:szCs w:val="21"/>
        </w:rPr>
        <w:t>2. Điều 4 được sửa đổi như sau:</w:t>
      </w:r>
    </w:p>
    <w:p w14:paraId="3570D0D7" w14:textId="77777777" w:rsidR="005D2D8F" w:rsidRDefault="005D2D8F" w:rsidP="005D2D8F">
      <w:pPr>
        <w:spacing w:line="375" w:lineRule="atLeast"/>
        <w:jc w:val="both"/>
        <w:rPr>
          <w:rFonts w:ascii="Arial" w:hAnsi="Arial" w:cs="Arial"/>
          <w:color w:val="000000"/>
          <w:sz w:val="21"/>
          <w:szCs w:val="21"/>
        </w:rPr>
      </w:pPr>
      <w:r>
        <w:rPr>
          <w:rStyle w:val="Strong"/>
          <w:rFonts w:ascii="Arial" w:hAnsi="Arial" w:cs="Arial"/>
          <w:color w:val="000000"/>
          <w:sz w:val="21"/>
          <w:szCs w:val="21"/>
        </w:rPr>
        <w:t>“Điều 4. Danh sách cá nhân nước ngoài có ảnh hưởng chính trị</w:t>
      </w:r>
    </w:p>
    <w:p w14:paraId="44088A7E" w14:textId="77777777" w:rsidR="005D2D8F" w:rsidRDefault="005D2D8F" w:rsidP="005D2D8F">
      <w:pPr>
        <w:spacing w:line="375" w:lineRule="atLeast"/>
        <w:jc w:val="both"/>
        <w:rPr>
          <w:rFonts w:ascii="Arial" w:hAnsi="Arial" w:cs="Arial"/>
          <w:color w:val="000000"/>
          <w:sz w:val="21"/>
          <w:szCs w:val="21"/>
        </w:rPr>
      </w:pPr>
      <w:r>
        <w:rPr>
          <w:rFonts w:ascii="Arial" w:hAnsi="Arial" w:cs="Arial"/>
          <w:color w:val="000000"/>
          <w:sz w:val="21"/>
          <w:szCs w:val="21"/>
        </w:rPr>
        <w:t>1. Danh sách cá nhân nước ngoài có ảnh hưởng chính trị theo quy định tại khoản 1 Điều 13 Luật phòng, chống rửa tiền được Ngân hàng Nhà nước Việt Nam cung cấp cho đối tượng báo cáo bằng tệp dữ liệu điện tử.</w:t>
      </w:r>
    </w:p>
    <w:p w14:paraId="16B5DB11" w14:textId="77777777" w:rsidR="005D2D8F" w:rsidRDefault="005D2D8F" w:rsidP="005D2D8F">
      <w:pPr>
        <w:spacing w:line="375" w:lineRule="atLeast"/>
        <w:jc w:val="both"/>
        <w:rPr>
          <w:rFonts w:ascii="Arial" w:hAnsi="Arial" w:cs="Arial"/>
          <w:color w:val="000000"/>
          <w:sz w:val="21"/>
          <w:szCs w:val="21"/>
        </w:rPr>
      </w:pPr>
      <w:r>
        <w:rPr>
          <w:rFonts w:ascii="Arial" w:hAnsi="Arial" w:cs="Arial"/>
          <w:color w:val="000000"/>
          <w:sz w:val="21"/>
          <w:szCs w:val="21"/>
        </w:rPr>
        <w:t>2. Đối tượng báo cáo phải đăng ký bằng văn bản với Cơ quan Thanh tra, giám sát ngân hàng (qua Cục Phòng, chống rửa tiền) thông tin về người tiếp nhận Danh sách cá nhân nước ngoài có ảnh hưởng chính trị, gồm: họ tên, số chứng minh nhân dân hoặc hộ chiếu còn thời hạn, chức vụ, địa chỉ nơi làm việc, số điện thoại và hòm thư điện tử.</w:t>
      </w:r>
    </w:p>
    <w:p w14:paraId="59A1E61A" w14:textId="77777777" w:rsidR="005D2D8F" w:rsidRDefault="005D2D8F" w:rsidP="005D2D8F">
      <w:pPr>
        <w:spacing w:line="375" w:lineRule="atLeast"/>
        <w:jc w:val="both"/>
        <w:rPr>
          <w:rFonts w:ascii="Arial" w:hAnsi="Arial" w:cs="Arial"/>
          <w:color w:val="000000"/>
          <w:sz w:val="21"/>
          <w:szCs w:val="21"/>
        </w:rPr>
      </w:pPr>
      <w:r>
        <w:rPr>
          <w:rFonts w:ascii="Arial" w:hAnsi="Arial" w:cs="Arial"/>
          <w:color w:val="000000"/>
          <w:sz w:val="21"/>
          <w:szCs w:val="21"/>
        </w:rPr>
        <w:t>3. Đối tượng báo cáo không được cung cấp Danh sách này cho bên thứ ba nếu không được sự đồng ý bằng văn bản của Cơ quan Thanh tra, giám sát ngân hàng”.</w:t>
      </w:r>
    </w:p>
    <w:p w14:paraId="330565DD" w14:textId="77777777" w:rsidR="005D2D8F" w:rsidRDefault="005D2D8F" w:rsidP="005D2D8F">
      <w:pPr>
        <w:spacing w:line="375" w:lineRule="atLeast"/>
        <w:jc w:val="both"/>
        <w:rPr>
          <w:rFonts w:ascii="Arial" w:hAnsi="Arial" w:cs="Arial"/>
          <w:color w:val="000000"/>
          <w:sz w:val="21"/>
          <w:szCs w:val="21"/>
        </w:rPr>
      </w:pPr>
      <w:r>
        <w:rPr>
          <w:rFonts w:ascii="Arial" w:hAnsi="Arial" w:cs="Arial"/>
          <w:color w:val="000000"/>
          <w:sz w:val="21"/>
          <w:szCs w:val="21"/>
        </w:rPr>
        <w:t>3. Khoản 1 Điều 7 được sửa đổi như sau:</w:t>
      </w:r>
    </w:p>
    <w:p w14:paraId="712190C5" w14:textId="77777777" w:rsidR="005D2D8F" w:rsidRDefault="005D2D8F" w:rsidP="005D2D8F">
      <w:pPr>
        <w:spacing w:line="375" w:lineRule="atLeast"/>
        <w:jc w:val="both"/>
        <w:rPr>
          <w:rFonts w:ascii="Arial" w:hAnsi="Arial" w:cs="Arial"/>
          <w:color w:val="000000"/>
          <w:sz w:val="21"/>
          <w:szCs w:val="21"/>
        </w:rPr>
      </w:pPr>
      <w:r>
        <w:rPr>
          <w:rFonts w:ascii="Arial" w:hAnsi="Arial" w:cs="Arial"/>
          <w:color w:val="000000"/>
          <w:sz w:val="21"/>
          <w:szCs w:val="21"/>
        </w:rPr>
        <w:t>“1. Trách nhiệm báo cáo:</w:t>
      </w:r>
    </w:p>
    <w:p w14:paraId="2FBBCC54" w14:textId="77777777" w:rsidR="005D2D8F" w:rsidRDefault="005D2D8F" w:rsidP="005D2D8F">
      <w:pPr>
        <w:spacing w:line="375" w:lineRule="atLeast"/>
        <w:jc w:val="both"/>
        <w:rPr>
          <w:rFonts w:ascii="Arial" w:hAnsi="Arial" w:cs="Arial"/>
          <w:color w:val="000000"/>
          <w:sz w:val="21"/>
          <w:szCs w:val="21"/>
        </w:rPr>
      </w:pPr>
      <w:r>
        <w:rPr>
          <w:rFonts w:ascii="Arial" w:hAnsi="Arial" w:cs="Arial"/>
          <w:color w:val="000000"/>
          <w:sz w:val="21"/>
          <w:szCs w:val="21"/>
        </w:rPr>
        <w:t>a) Trừ những giao dịch chuyển tiền điện tử tại điểm b khoản này, tổ chức tài chính được phép thực hiện dịch vụ thanh toán trong nước, quốc tế phải báo cáo Cục Phòng, chống rửa tiền từng giao dịch chuyển tiền điện tử trong nước có mức giá trị từ 500.000.000 (năm trăm triệu) đồng trở lên hoặc ngoại tệ có giá trị tương đương và giao dịch chuyển tiền điện tử quốc tế ra vào Việt Nam có mức giá trị từ 1.000 (một nghìn) đô la Mỹ trở lên hoặc bằng ngoại tệ khác có giá trị tương đương;</w:t>
      </w:r>
    </w:p>
    <w:p w14:paraId="529A889C" w14:textId="77777777" w:rsidR="005D2D8F" w:rsidRDefault="005D2D8F" w:rsidP="005D2D8F">
      <w:pPr>
        <w:spacing w:line="375" w:lineRule="atLeast"/>
        <w:jc w:val="both"/>
        <w:rPr>
          <w:rFonts w:ascii="Arial" w:hAnsi="Arial" w:cs="Arial"/>
          <w:color w:val="000000"/>
          <w:sz w:val="21"/>
          <w:szCs w:val="21"/>
        </w:rPr>
      </w:pPr>
      <w:r>
        <w:rPr>
          <w:rFonts w:ascii="Arial" w:hAnsi="Arial" w:cs="Arial"/>
          <w:color w:val="000000"/>
          <w:sz w:val="21"/>
          <w:szCs w:val="21"/>
        </w:rPr>
        <w:t>b) Các giao dịch chuyển tiền điện tử không phải báo cáo bao gồm:</w:t>
      </w:r>
    </w:p>
    <w:p w14:paraId="0D779733" w14:textId="77777777" w:rsidR="005D2D8F" w:rsidRDefault="005D2D8F" w:rsidP="005D2D8F">
      <w:pPr>
        <w:spacing w:line="375" w:lineRule="atLeast"/>
        <w:jc w:val="both"/>
        <w:rPr>
          <w:rFonts w:ascii="Arial" w:hAnsi="Arial" w:cs="Arial"/>
          <w:color w:val="000000"/>
          <w:sz w:val="21"/>
          <w:szCs w:val="21"/>
        </w:rPr>
      </w:pPr>
      <w:r>
        <w:rPr>
          <w:rFonts w:ascii="Arial" w:hAnsi="Arial" w:cs="Arial"/>
          <w:color w:val="000000"/>
          <w:sz w:val="21"/>
          <w:szCs w:val="21"/>
        </w:rPr>
        <w:t>- Giao dịch chuyển tiền bắt nguồn từ giao dịch sử dụng thẻ ghi nợ, thẻ tín dụng hoặc thẻ trả trước để thanh toán tiền hàng hóa, dịch vụ;</w:t>
      </w:r>
    </w:p>
    <w:p w14:paraId="3FF040CA" w14:textId="77777777" w:rsidR="005D2D8F" w:rsidRDefault="005D2D8F" w:rsidP="005D2D8F">
      <w:pPr>
        <w:spacing w:line="375" w:lineRule="atLeast"/>
        <w:jc w:val="both"/>
        <w:rPr>
          <w:rFonts w:ascii="Arial" w:hAnsi="Arial" w:cs="Arial"/>
          <w:color w:val="000000"/>
          <w:sz w:val="21"/>
          <w:szCs w:val="21"/>
        </w:rPr>
      </w:pPr>
      <w:r>
        <w:rPr>
          <w:rFonts w:ascii="Arial" w:hAnsi="Arial" w:cs="Arial"/>
          <w:color w:val="000000"/>
          <w:sz w:val="21"/>
          <w:szCs w:val="21"/>
        </w:rPr>
        <w:t>- Giao dịch chuyển tiền và thanh toán giữa các tổ chức tài chính mà người khởi tạo và người thụ hưởng đều là các tổ chức tài chính.</w:t>
      </w:r>
    </w:p>
    <w:p w14:paraId="7EF2673C" w14:textId="77777777" w:rsidR="005D2D8F" w:rsidRDefault="005D2D8F" w:rsidP="005D2D8F">
      <w:pPr>
        <w:spacing w:line="375" w:lineRule="atLeast"/>
        <w:jc w:val="both"/>
        <w:rPr>
          <w:rFonts w:ascii="Arial" w:hAnsi="Arial" w:cs="Arial"/>
          <w:color w:val="000000"/>
          <w:sz w:val="21"/>
          <w:szCs w:val="21"/>
        </w:rPr>
      </w:pPr>
      <w:r>
        <w:rPr>
          <w:rFonts w:ascii="Arial" w:hAnsi="Arial" w:cs="Arial"/>
          <w:color w:val="000000"/>
          <w:sz w:val="21"/>
          <w:szCs w:val="21"/>
        </w:rPr>
        <w:t>c) Đối với các giao dịch chuyển tiền điện tử trong nước thì tổ chức tài chính phát lệnh chuyển tiền phải báo cáo và có trách nhiệm thu thập đầy đủ thông tin về cá nhân, tổ chức phát lệnh chuyển tiền. Tổ chức tài chính phục vụ người thụ hưởng có trách nhiệm thu thập đầy đủ thông tin về cá nhân, tổ chức thụ hưởng theo quy định tại điểm c khoản 2 Điều này và báo cáo Cục Phòng, chống rửa tiền khi được yêu cầu. Tổ chức tài chính có trách nhiệm báo cáo Cục Phòng, chống rửa tiền bằng tệp dữ liệu điện tử theo quy định tại Điều 10 Thông tư này”,</w:t>
      </w:r>
    </w:p>
    <w:p w14:paraId="346F718B" w14:textId="77777777" w:rsidR="005D2D8F" w:rsidRDefault="005D2D8F" w:rsidP="005D2D8F">
      <w:pPr>
        <w:spacing w:line="375" w:lineRule="atLeast"/>
        <w:jc w:val="both"/>
        <w:rPr>
          <w:rFonts w:ascii="Arial" w:hAnsi="Arial" w:cs="Arial"/>
          <w:color w:val="000000"/>
          <w:sz w:val="21"/>
          <w:szCs w:val="21"/>
        </w:rPr>
      </w:pPr>
      <w:r>
        <w:rPr>
          <w:rFonts w:ascii="Arial" w:hAnsi="Arial" w:cs="Arial"/>
          <w:color w:val="000000"/>
          <w:sz w:val="21"/>
          <w:szCs w:val="21"/>
        </w:rPr>
        <w:t>4. Bổ sung Điều 10a như sau:</w:t>
      </w:r>
    </w:p>
    <w:p w14:paraId="3263A801" w14:textId="77777777" w:rsidR="005D2D8F" w:rsidRDefault="005D2D8F" w:rsidP="005D2D8F">
      <w:pPr>
        <w:spacing w:line="375" w:lineRule="atLeast"/>
        <w:jc w:val="both"/>
        <w:rPr>
          <w:rFonts w:ascii="Arial" w:hAnsi="Arial" w:cs="Arial"/>
          <w:color w:val="000000"/>
          <w:sz w:val="21"/>
          <w:szCs w:val="21"/>
        </w:rPr>
      </w:pPr>
      <w:r>
        <w:rPr>
          <w:rStyle w:val="Strong"/>
          <w:rFonts w:ascii="Arial" w:hAnsi="Arial" w:cs="Arial"/>
          <w:color w:val="000000"/>
          <w:sz w:val="21"/>
          <w:szCs w:val="21"/>
        </w:rPr>
        <w:lastRenderedPageBreak/>
        <w:t>“Điều 10a. Phân công, kiểm toán và đào tạo, bồi dưỡng về phòng, chống rửa tiền</w:t>
      </w:r>
    </w:p>
    <w:p w14:paraId="34310548" w14:textId="77777777" w:rsidR="005D2D8F" w:rsidRDefault="005D2D8F" w:rsidP="005D2D8F">
      <w:pPr>
        <w:spacing w:line="375" w:lineRule="atLeast"/>
        <w:jc w:val="both"/>
        <w:rPr>
          <w:rFonts w:ascii="Arial" w:hAnsi="Arial" w:cs="Arial"/>
          <w:color w:val="000000"/>
          <w:sz w:val="21"/>
          <w:szCs w:val="21"/>
        </w:rPr>
      </w:pPr>
      <w:r>
        <w:rPr>
          <w:rFonts w:ascii="Arial" w:hAnsi="Arial" w:cs="Arial"/>
          <w:color w:val="000000"/>
          <w:sz w:val="21"/>
          <w:szCs w:val="21"/>
        </w:rPr>
        <w:t>1. Phân công cán bộ, bộ phận chịu trách nhiệm về phòng, chống rửa tiền</w:t>
      </w:r>
    </w:p>
    <w:p w14:paraId="57A4699B" w14:textId="77777777" w:rsidR="005D2D8F" w:rsidRDefault="005D2D8F" w:rsidP="005D2D8F">
      <w:pPr>
        <w:spacing w:line="375" w:lineRule="atLeast"/>
        <w:jc w:val="both"/>
        <w:rPr>
          <w:rFonts w:ascii="Arial" w:hAnsi="Arial" w:cs="Arial"/>
          <w:color w:val="000000"/>
          <w:sz w:val="21"/>
          <w:szCs w:val="21"/>
        </w:rPr>
      </w:pPr>
      <w:r>
        <w:rPr>
          <w:rFonts w:ascii="Arial" w:hAnsi="Arial" w:cs="Arial"/>
          <w:color w:val="000000"/>
          <w:sz w:val="21"/>
          <w:szCs w:val="21"/>
        </w:rPr>
        <w:t>a) Tổ chức tài chính, tổ chức kinh doanh ngành nghề phi tài chính có liên quan phải phân công một thành viên Ban lãnh đạo hoặc người được Ban lãnh đạo ủy quyền chịu trách nhiệm về tổ chức, chỉ đạo, kiểm tra việc tuân thủ quy định của pháp luật về phòng, chống rửa tiền tại đơn vị (sau đây gọi là người phụ trách phòng, chống rửa tiền) và đăng ký với Cục Phòng, chống rửa tiền kèm các thông tin chi tiết như họ tên, địa chỉ nơi làm việc, số điện thoại, số fax, địa chỉ hòm thư điện tử (email) để liên lạc khi cần thiết. Khi thay đổi người phụ trách phòng, chống rửa tiền hoặc thông tin liên quan đến người này, tổ chức tài chính, tổ chức kinh doanh ngành nghề phi tài chính có liên quan phải thông báo kịp thời bằng văn bản cho Cục Phòng, chống rửa tiền;</w:t>
      </w:r>
    </w:p>
    <w:p w14:paraId="59743FF7" w14:textId="77777777" w:rsidR="005D2D8F" w:rsidRDefault="005D2D8F" w:rsidP="005D2D8F">
      <w:pPr>
        <w:spacing w:line="375" w:lineRule="atLeast"/>
        <w:jc w:val="both"/>
        <w:rPr>
          <w:rFonts w:ascii="Arial" w:hAnsi="Arial" w:cs="Arial"/>
          <w:color w:val="000000"/>
          <w:sz w:val="21"/>
          <w:szCs w:val="21"/>
        </w:rPr>
      </w:pPr>
      <w:r>
        <w:rPr>
          <w:rFonts w:ascii="Arial" w:hAnsi="Arial" w:cs="Arial"/>
          <w:color w:val="000000"/>
          <w:sz w:val="21"/>
          <w:szCs w:val="21"/>
        </w:rPr>
        <w:t>b) Tùy theo quy mô, phạm vi và đặc thù hoạt động, tổ chức tài chính, tổ chức kinh doanh ngành nghề phi tài chính có liên quan phải thành lập bộ phận chuyên trách (tổ, phòng, ban) hoặc chỉ định một bộ phận tại trụ sở chính chịu trách nhiệm về phòng, chống rửa tiền; tại sở giao dịch, chi nhánh (nếu có) phải phân công một hoặc một số cán bộ hoặc bộ phận chịu trách nhiệm về phòng, chống rửa tiền.</w:t>
      </w:r>
    </w:p>
    <w:p w14:paraId="5BC6CCB5" w14:textId="77777777" w:rsidR="005D2D8F" w:rsidRDefault="005D2D8F" w:rsidP="005D2D8F">
      <w:pPr>
        <w:spacing w:line="375" w:lineRule="atLeast"/>
        <w:jc w:val="both"/>
        <w:rPr>
          <w:rFonts w:ascii="Arial" w:hAnsi="Arial" w:cs="Arial"/>
          <w:color w:val="000000"/>
          <w:sz w:val="21"/>
          <w:szCs w:val="21"/>
        </w:rPr>
      </w:pPr>
      <w:r>
        <w:rPr>
          <w:rFonts w:ascii="Arial" w:hAnsi="Arial" w:cs="Arial"/>
          <w:color w:val="000000"/>
          <w:sz w:val="21"/>
          <w:szCs w:val="21"/>
        </w:rPr>
        <w:t>2. Kiểm toán nội bộ về phòng, chống rửa tiền</w:t>
      </w:r>
    </w:p>
    <w:p w14:paraId="74A81DC2" w14:textId="77777777" w:rsidR="005D2D8F" w:rsidRDefault="005D2D8F" w:rsidP="005D2D8F">
      <w:pPr>
        <w:spacing w:line="375" w:lineRule="atLeast"/>
        <w:jc w:val="both"/>
        <w:rPr>
          <w:rFonts w:ascii="Arial" w:hAnsi="Arial" w:cs="Arial"/>
          <w:color w:val="000000"/>
          <w:sz w:val="21"/>
          <w:szCs w:val="21"/>
        </w:rPr>
      </w:pPr>
      <w:r>
        <w:rPr>
          <w:rFonts w:ascii="Arial" w:hAnsi="Arial" w:cs="Arial"/>
          <w:color w:val="000000"/>
          <w:sz w:val="21"/>
          <w:szCs w:val="21"/>
        </w:rPr>
        <w:t>a) Hàng năm, tổ chức tài chính, tổ chức kinh doanh ngành nghề phi tài chính có liên quan phải tiến hành kiểm toán nội bộ về phòng, chống rửa tiền. Việc kiểm toán nội bộ về phòng, chống rửa tiền có thể được tiến hành độc lập hoặc kết hợp với các nội dung khác. Nội dung kiểm toán nội bộ bao gồm: kiểm tra rà soát, đánh giá một cách độc lập, khách quan hệ thống kiểm soát nội bộ, việc tuân thủ quy chế nội bộ và kiến nghị, đề xuất các biện pháp nhằm nâng cao hiệu quả, hiệu lực của công tác phòng, chống rửa tiền;</w:t>
      </w:r>
    </w:p>
    <w:p w14:paraId="708A8BCB" w14:textId="77777777" w:rsidR="005D2D8F" w:rsidRDefault="005D2D8F" w:rsidP="005D2D8F">
      <w:pPr>
        <w:spacing w:line="375" w:lineRule="atLeast"/>
        <w:jc w:val="both"/>
        <w:rPr>
          <w:rFonts w:ascii="Arial" w:hAnsi="Arial" w:cs="Arial"/>
          <w:color w:val="000000"/>
          <w:sz w:val="21"/>
          <w:szCs w:val="21"/>
        </w:rPr>
      </w:pPr>
      <w:r>
        <w:rPr>
          <w:rFonts w:ascii="Arial" w:hAnsi="Arial" w:cs="Arial"/>
          <w:color w:val="000000"/>
          <w:sz w:val="21"/>
          <w:szCs w:val="21"/>
        </w:rPr>
        <w:t>b) Mọi vi phạm được phát hiện trong quá trình kiểm toán nội bộ phải được báo cáo cho người phụ trách phòng, chống rửa tiền và người đứng đầu của đối tượng báo cáo để xử lý;</w:t>
      </w:r>
    </w:p>
    <w:p w14:paraId="0E21CF61" w14:textId="77777777" w:rsidR="005D2D8F" w:rsidRDefault="005D2D8F" w:rsidP="005D2D8F">
      <w:pPr>
        <w:spacing w:line="375" w:lineRule="atLeast"/>
        <w:jc w:val="both"/>
        <w:rPr>
          <w:rFonts w:ascii="Arial" w:hAnsi="Arial" w:cs="Arial"/>
          <w:color w:val="000000"/>
          <w:sz w:val="21"/>
          <w:szCs w:val="21"/>
        </w:rPr>
      </w:pPr>
      <w:r>
        <w:rPr>
          <w:rFonts w:ascii="Arial" w:hAnsi="Arial" w:cs="Arial"/>
          <w:color w:val="000000"/>
          <w:sz w:val="21"/>
          <w:szCs w:val="21"/>
        </w:rPr>
        <w:t>c) Chậm nhất sau 60 (sáu mươi) ngày kể từ ngày kết thúc năm tài chính, tổ chức tài chính, tổ chức kinh doanh ngành nghề phi tài chính có liên quan phải gửi báo cáo kiểm toán nội bộ về phòng, chống rửa tiền cho Cục Phòng, chống rửa tiền.</w:t>
      </w:r>
    </w:p>
    <w:p w14:paraId="421D6D9E" w14:textId="77777777" w:rsidR="005D2D8F" w:rsidRDefault="005D2D8F" w:rsidP="005D2D8F">
      <w:pPr>
        <w:spacing w:line="375" w:lineRule="atLeast"/>
        <w:jc w:val="both"/>
        <w:rPr>
          <w:rFonts w:ascii="Arial" w:hAnsi="Arial" w:cs="Arial"/>
          <w:color w:val="000000"/>
          <w:sz w:val="21"/>
          <w:szCs w:val="21"/>
        </w:rPr>
      </w:pPr>
      <w:r>
        <w:rPr>
          <w:rFonts w:ascii="Arial" w:hAnsi="Arial" w:cs="Arial"/>
          <w:color w:val="000000"/>
          <w:sz w:val="21"/>
          <w:szCs w:val="21"/>
        </w:rPr>
        <w:t>3. Đào tạo, bồi dưỡng về phòng, chống rửa tiền</w:t>
      </w:r>
    </w:p>
    <w:p w14:paraId="7E0314C5" w14:textId="77777777" w:rsidR="005D2D8F" w:rsidRDefault="005D2D8F" w:rsidP="005D2D8F">
      <w:pPr>
        <w:spacing w:line="375" w:lineRule="atLeast"/>
        <w:jc w:val="both"/>
        <w:rPr>
          <w:rFonts w:ascii="Arial" w:hAnsi="Arial" w:cs="Arial"/>
          <w:color w:val="000000"/>
          <w:sz w:val="21"/>
          <w:szCs w:val="21"/>
        </w:rPr>
      </w:pPr>
      <w:r>
        <w:rPr>
          <w:rFonts w:ascii="Arial" w:hAnsi="Arial" w:cs="Arial"/>
          <w:color w:val="000000"/>
          <w:sz w:val="21"/>
          <w:szCs w:val="21"/>
        </w:rPr>
        <w:t>a) Hàng năm, tổ chức tài chính, tổ chức kinh doanh ngành nghề phi tài chính có liên quan phải đào tạo, bồi dưỡng cán bộ, nhân viên chuyên trách hoặc bán chuyên trách phòng, chống rửa tiền và cán bộ, nhân viên được giao nhiệm vụ liên quan đến giao dịch tiền, tài sản với khách hàng về nghiệp vụ phòng, chống rửa tiền;</w:t>
      </w:r>
    </w:p>
    <w:p w14:paraId="5740C99E" w14:textId="77777777" w:rsidR="005D2D8F" w:rsidRDefault="005D2D8F" w:rsidP="005D2D8F">
      <w:pPr>
        <w:spacing w:line="375" w:lineRule="atLeast"/>
        <w:jc w:val="both"/>
        <w:rPr>
          <w:rFonts w:ascii="Arial" w:hAnsi="Arial" w:cs="Arial"/>
          <w:color w:val="000000"/>
          <w:sz w:val="21"/>
          <w:szCs w:val="21"/>
        </w:rPr>
      </w:pPr>
      <w:r>
        <w:rPr>
          <w:rFonts w:ascii="Arial" w:hAnsi="Arial" w:cs="Arial"/>
          <w:color w:val="000000"/>
          <w:sz w:val="21"/>
          <w:szCs w:val="21"/>
        </w:rPr>
        <w:t>b) Tổ chức tài chính, tổ chức kinh doanh ngành nghề phi tài chính có liên quan phải đào tạo nhân viên mới tuyển dụng dự kiến đảm trách nhiệm vụ phòng chống rửa tiền và các nhiệm vụ khác liên quan đến giao dịch tiền, tài sản với khách hàng kiến thức, nghiệp vụ phòng, chống rửa tiền trong vòng 6 (sáu) tháng kể từ ngày được tuyển dụng;</w:t>
      </w:r>
    </w:p>
    <w:p w14:paraId="6B839C92" w14:textId="77777777" w:rsidR="005D2D8F" w:rsidRDefault="005D2D8F" w:rsidP="005D2D8F">
      <w:pPr>
        <w:spacing w:line="375" w:lineRule="atLeast"/>
        <w:jc w:val="both"/>
        <w:rPr>
          <w:rFonts w:ascii="Arial" w:hAnsi="Arial" w:cs="Arial"/>
          <w:color w:val="000000"/>
          <w:sz w:val="21"/>
          <w:szCs w:val="21"/>
        </w:rPr>
      </w:pPr>
      <w:r>
        <w:rPr>
          <w:rFonts w:ascii="Arial" w:hAnsi="Arial" w:cs="Arial"/>
          <w:color w:val="000000"/>
          <w:sz w:val="21"/>
          <w:szCs w:val="21"/>
        </w:rPr>
        <w:lastRenderedPageBreak/>
        <w:t>c) Nội dung đào tạo, bồi dưỡng nghiệp vụ phòng, chống rửa tiền tối thiểu phải bao gồm: quy định của pháp luật và quy định nội bộ về phòng, chống rửa tiền- trách nhiệm pháp lý khi không thực hiện các quy định của pháp luật về phòng chống rửa tiền; phương thức, thủ đoạn rửa tiền; rủi ro rửa tiền liên quan đến sản phẩm, dịch vụ, nhiệm vụ mà cán bộ, nhân viên được giao thực hiện".</w:t>
      </w:r>
    </w:p>
    <w:p w14:paraId="331A75A4" w14:textId="77777777" w:rsidR="005D2D8F" w:rsidRDefault="005D2D8F" w:rsidP="005D2D8F">
      <w:pPr>
        <w:spacing w:line="375" w:lineRule="atLeast"/>
        <w:jc w:val="both"/>
        <w:rPr>
          <w:rFonts w:ascii="Arial" w:hAnsi="Arial" w:cs="Arial"/>
          <w:color w:val="000000"/>
          <w:sz w:val="21"/>
          <w:szCs w:val="21"/>
        </w:rPr>
      </w:pPr>
      <w:r>
        <w:rPr>
          <w:rFonts w:ascii="Arial" w:hAnsi="Arial" w:cs="Arial"/>
          <w:color w:val="000000"/>
          <w:sz w:val="21"/>
          <w:szCs w:val="21"/>
        </w:rPr>
        <w:t>5. Bổ sung Điều 10b như sau:</w:t>
      </w:r>
    </w:p>
    <w:p w14:paraId="191FDDF0" w14:textId="77777777" w:rsidR="005D2D8F" w:rsidRDefault="005D2D8F" w:rsidP="005D2D8F">
      <w:pPr>
        <w:spacing w:line="375" w:lineRule="atLeast"/>
        <w:jc w:val="both"/>
        <w:rPr>
          <w:rFonts w:ascii="Arial" w:hAnsi="Arial" w:cs="Arial"/>
          <w:color w:val="000000"/>
          <w:sz w:val="21"/>
          <w:szCs w:val="21"/>
        </w:rPr>
      </w:pPr>
      <w:r>
        <w:rPr>
          <w:rStyle w:val="Strong"/>
          <w:rFonts w:ascii="Arial" w:hAnsi="Arial" w:cs="Arial"/>
          <w:color w:val="000000"/>
          <w:sz w:val="21"/>
          <w:szCs w:val="21"/>
        </w:rPr>
        <w:t>“Điều 10b. Phòng, chống tài trợ khủng bố</w:t>
      </w:r>
    </w:p>
    <w:p w14:paraId="7691ECFE" w14:textId="77777777" w:rsidR="005D2D8F" w:rsidRDefault="005D2D8F" w:rsidP="005D2D8F">
      <w:pPr>
        <w:spacing w:line="375" w:lineRule="atLeast"/>
        <w:jc w:val="both"/>
        <w:rPr>
          <w:rFonts w:ascii="Arial" w:hAnsi="Arial" w:cs="Arial"/>
          <w:color w:val="000000"/>
          <w:sz w:val="21"/>
          <w:szCs w:val="21"/>
        </w:rPr>
      </w:pPr>
      <w:r>
        <w:rPr>
          <w:rFonts w:ascii="Arial" w:hAnsi="Arial" w:cs="Arial"/>
          <w:color w:val="000000"/>
          <w:sz w:val="21"/>
          <w:szCs w:val="21"/>
        </w:rPr>
        <w:t>1. Đối tượng báo cáo phải áp dụng các biện pháp phòng, chống tài trợ khủng bố theo các quy định nêu tại Điều 3, Điều 4, Điều 5, Điều 6, Điều 7, Điều 8, Điều 10, Điều 13, Điều 14 Nghị định số 116/2013/NĐ-CP ngày 04/10/2013 của Chính phủ quy định chi tiết thi hành một số điều của Luật phòng, chống rửa tiền.</w:t>
      </w:r>
    </w:p>
    <w:p w14:paraId="573DBDF0" w14:textId="77777777" w:rsidR="005D2D8F" w:rsidRDefault="005D2D8F" w:rsidP="005D2D8F">
      <w:pPr>
        <w:spacing w:line="375" w:lineRule="atLeast"/>
        <w:jc w:val="both"/>
        <w:rPr>
          <w:rFonts w:ascii="Arial" w:hAnsi="Arial" w:cs="Arial"/>
          <w:color w:val="000000"/>
          <w:sz w:val="21"/>
          <w:szCs w:val="21"/>
        </w:rPr>
      </w:pPr>
      <w:r>
        <w:rPr>
          <w:rFonts w:ascii="Arial" w:hAnsi="Arial" w:cs="Arial"/>
          <w:color w:val="000000"/>
          <w:sz w:val="21"/>
          <w:szCs w:val="21"/>
        </w:rPr>
        <w:t>2. Khi có nghi ngờ tổ chức, cá nhân thực hiện hành vi có liên quan đến tài trợ khủng bố, đối tượng báo cáo có trách nhiệm báo cáo giao dịch đáng ngờ cho Cục Phòng, chống rửa tiền bằng văn bản hoặc bằng tệp dữ liệu điện tử theo quy định tại Điều 10 Thông tư này.</w:t>
      </w:r>
    </w:p>
    <w:p w14:paraId="76AC8F27" w14:textId="77777777" w:rsidR="005D2D8F" w:rsidRDefault="005D2D8F" w:rsidP="005D2D8F">
      <w:pPr>
        <w:spacing w:line="375" w:lineRule="atLeast"/>
        <w:jc w:val="both"/>
        <w:rPr>
          <w:rFonts w:ascii="Arial" w:hAnsi="Arial" w:cs="Arial"/>
          <w:color w:val="000000"/>
          <w:sz w:val="21"/>
          <w:szCs w:val="21"/>
        </w:rPr>
      </w:pPr>
      <w:r>
        <w:rPr>
          <w:rFonts w:ascii="Arial" w:hAnsi="Arial" w:cs="Arial"/>
          <w:color w:val="000000"/>
          <w:sz w:val="21"/>
          <w:szCs w:val="21"/>
        </w:rPr>
        <w:t>3. Nội dung báo cáo được thực hiện theo quy định tại khoản 2, 3 Điều 8 Thông tư này”.</w:t>
      </w:r>
    </w:p>
    <w:p w14:paraId="54FCCBBE" w14:textId="77777777" w:rsidR="005D2D8F" w:rsidRDefault="005D2D8F" w:rsidP="005D2D8F">
      <w:pPr>
        <w:spacing w:line="375" w:lineRule="atLeast"/>
        <w:jc w:val="both"/>
        <w:rPr>
          <w:rFonts w:ascii="Arial" w:hAnsi="Arial" w:cs="Arial"/>
          <w:color w:val="000000"/>
          <w:sz w:val="21"/>
          <w:szCs w:val="21"/>
        </w:rPr>
      </w:pPr>
      <w:r>
        <w:rPr>
          <w:rStyle w:val="Strong"/>
          <w:rFonts w:ascii="Arial" w:hAnsi="Arial" w:cs="Arial"/>
          <w:color w:val="000000"/>
          <w:sz w:val="21"/>
          <w:szCs w:val="21"/>
        </w:rPr>
        <w:t>Điều 2. Điều khoản thi hành</w:t>
      </w:r>
    </w:p>
    <w:p w14:paraId="01212C8B" w14:textId="77777777" w:rsidR="005D2D8F" w:rsidRDefault="005D2D8F" w:rsidP="005D2D8F">
      <w:pPr>
        <w:spacing w:line="375" w:lineRule="atLeast"/>
        <w:jc w:val="both"/>
        <w:rPr>
          <w:rFonts w:ascii="Arial" w:hAnsi="Arial" w:cs="Arial"/>
          <w:color w:val="000000"/>
          <w:sz w:val="21"/>
          <w:szCs w:val="21"/>
        </w:rPr>
      </w:pPr>
      <w:r>
        <w:rPr>
          <w:rFonts w:ascii="Arial" w:hAnsi="Arial" w:cs="Arial"/>
          <w:color w:val="000000"/>
          <w:sz w:val="21"/>
          <w:szCs w:val="21"/>
        </w:rPr>
        <w:t>Thông tư này có hiệu lực thi hành kể từ ngày 26 tháng 12 năm 2014.</w:t>
      </w:r>
    </w:p>
    <w:p w14:paraId="70B66EEA" w14:textId="77777777" w:rsidR="005D2D8F" w:rsidRDefault="005D2D8F" w:rsidP="005D2D8F">
      <w:pPr>
        <w:spacing w:line="375" w:lineRule="atLeast"/>
        <w:jc w:val="both"/>
        <w:rPr>
          <w:rFonts w:ascii="Arial" w:hAnsi="Arial" w:cs="Arial"/>
          <w:color w:val="000000"/>
          <w:sz w:val="21"/>
          <w:szCs w:val="21"/>
        </w:rPr>
      </w:pPr>
      <w:r>
        <w:rPr>
          <w:rStyle w:val="Strong"/>
          <w:rFonts w:ascii="Arial" w:hAnsi="Arial" w:cs="Arial"/>
          <w:color w:val="000000"/>
          <w:sz w:val="21"/>
          <w:szCs w:val="21"/>
        </w:rPr>
        <w:t>Điều 3. Trách nhiệm tổ chức thực hiện</w:t>
      </w:r>
    </w:p>
    <w:p w14:paraId="21C9FD79" w14:textId="77777777" w:rsidR="005D2D8F" w:rsidRDefault="005D2D8F" w:rsidP="005D2D8F">
      <w:pPr>
        <w:spacing w:line="375" w:lineRule="atLeast"/>
        <w:jc w:val="both"/>
        <w:rPr>
          <w:rFonts w:ascii="Arial" w:hAnsi="Arial" w:cs="Arial"/>
          <w:color w:val="000000"/>
          <w:sz w:val="21"/>
          <w:szCs w:val="21"/>
        </w:rPr>
      </w:pPr>
      <w:r>
        <w:rPr>
          <w:rFonts w:ascii="Arial" w:hAnsi="Arial" w:cs="Arial"/>
          <w:color w:val="000000"/>
          <w:sz w:val="21"/>
          <w:szCs w:val="21"/>
        </w:rPr>
        <w:t>1. Thủ trưởng cơ quan nhà nước có thẩm quyền theo quy định của Luật phòng, chống rửa tiền và đối tượng báo cáo theo quy định tại khoản 1 Điều 2 Thông tư số 35/2013/TT-NHNN chịu trách nhiệm tổ chức thực hiện Thông tư này.</w:t>
      </w:r>
    </w:p>
    <w:p w14:paraId="5D0DD0B7" w14:textId="77777777" w:rsidR="005D2D8F" w:rsidRDefault="005D2D8F" w:rsidP="005D2D8F">
      <w:pPr>
        <w:spacing w:line="375" w:lineRule="atLeast"/>
        <w:jc w:val="both"/>
        <w:rPr>
          <w:rFonts w:ascii="Arial" w:hAnsi="Arial" w:cs="Arial"/>
          <w:color w:val="000000"/>
          <w:sz w:val="21"/>
          <w:szCs w:val="21"/>
        </w:rPr>
      </w:pPr>
      <w:r>
        <w:rPr>
          <w:rFonts w:ascii="Arial" w:hAnsi="Arial" w:cs="Arial"/>
          <w:color w:val="000000"/>
          <w:sz w:val="21"/>
          <w:szCs w:val="21"/>
        </w:rPr>
        <w:t>2. Trong quá trình thực hiện, nếu có vấn đề phát sinh hoặc khó khăn, vướng mắc, đối tượng báo cáo phản ánh về Ngân hàng Nhà nước Việt Nam (qua Cục Phòng, chống rửa tiền) để được hướng dẫn kịp thời.</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801"/>
        <w:gridCol w:w="4203"/>
      </w:tblGrid>
      <w:tr w:rsidR="005D2D8F" w14:paraId="32721D52" w14:textId="77777777" w:rsidTr="005D2D8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0CDA70" w14:textId="77777777" w:rsidR="005D2D8F" w:rsidRDefault="005D2D8F" w:rsidP="005D2D8F">
            <w:pPr>
              <w:spacing w:line="37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khoản 1 Điều 3;</w:t>
            </w:r>
            <w:r>
              <w:rPr>
                <w:rFonts w:ascii="Arial" w:hAnsi="Arial" w:cs="Arial"/>
                <w:color w:val="000000"/>
                <w:sz w:val="21"/>
                <w:szCs w:val="21"/>
              </w:rPr>
              <w:br/>
              <w:t>- Văn phòng Chính phủ;</w:t>
            </w:r>
            <w:r>
              <w:rPr>
                <w:rFonts w:ascii="Arial" w:hAnsi="Arial" w:cs="Arial"/>
                <w:color w:val="000000"/>
                <w:sz w:val="21"/>
                <w:szCs w:val="21"/>
              </w:rPr>
              <w:br/>
              <w:t>- Bộ Tư pháp (để kiểm tra);</w:t>
            </w:r>
            <w:r>
              <w:rPr>
                <w:rFonts w:ascii="Arial" w:hAnsi="Arial" w:cs="Arial"/>
                <w:color w:val="000000"/>
                <w:sz w:val="21"/>
                <w:szCs w:val="21"/>
              </w:rPr>
              <w:br/>
              <w:t>- Ban Lãnh đạo NHNN;</w:t>
            </w:r>
            <w:r>
              <w:rPr>
                <w:rFonts w:ascii="Arial" w:hAnsi="Arial" w:cs="Arial"/>
                <w:color w:val="000000"/>
                <w:sz w:val="21"/>
                <w:szCs w:val="21"/>
              </w:rPr>
              <w:br/>
              <w:t>- Công báo (2 bản);</w:t>
            </w:r>
            <w:r>
              <w:rPr>
                <w:rFonts w:ascii="Arial" w:hAnsi="Arial" w:cs="Arial"/>
                <w:color w:val="000000"/>
                <w:sz w:val="21"/>
                <w:szCs w:val="21"/>
              </w:rPr>
              <w:br/>
              <w:t>- Lưu: VP, TTGSNH7, PC.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24F259" w14:textId="77777777" w:rsidR="005D2D8F" w:rsidRDefault="005D2D8F">
            <w:pPr>
              <w:spacing w:line="375" w:lineRule="atLeast"/>
              <w:jc w:val="center"/>
              <w:rPr>
                <w:rFonts w:ascii="Arial" w:hAnsi="Arial" w:cs="Arial"/>
                <w:color w:val="000000"/>
                <w:sz w:val="21"/>
                <w:szCs w:val="21"/>
              </w:rPr>
            </w:pPr>
            <w:r>
              <w:rPr>
                <w:rStyle w:val="Strong"/>
                <w:rFonts w:ascii="Arial" w:hAnsi="Arial" w:cs="Arial"/>
                <w:color w:val="000000"/>
                <w:sz w:val="21"/>
                <w:szCs w:val="21"/>
              </w:rPr>
              <w:t>KT. THỐNG ĐỐC</w:t>
            </w:r>
            <w:r>
              <w:rPr>
                <w:rFonts w:ascii="Arial" w:hAnsi="Arial" w:cs="Arial"/>
                <w:b/>
                <w:bCs/>
                <w:color w:val="000000"/>
                <w:sz w:val="21"/>
                <w:szCs w:val="21"/>
              </w:rPr>
              <w:br/>
            </w:r>
            <w:r>
              <w:rPr>
                <w:rStyle w:val="Strong"/>
                <w:rFonts w:ascii="Arial" w:hAnsi="Arial" w:cs="Arial"/>
                <w:color w:val="000000"/>
                <w:sz w:val="21"/>
                <w:szCs w:val="21"/>
              </w:rPr>
              <w:t>PHÓ THỐNG ĐỐC</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Phước Thanh</w:t>
            </w:r>
          </w:p>
        </w:tc>
      </w:tr>
    </w:tbl>
    <w:p w14:paraId="29E29492" w14:textId="7B1DF014" w:rsidR="008100A5" w:rsidRPr="005D2D8F" w:rsidRDefault="008100A5" w:rsidP="005D2D8F"/>
    <w:sectPr w:rsidR="008100A5" w:rsidRPr="005D2D8F" w:rsidSect="00EF16BB">
      <w:headerReference w:type="even" r:id="rId15"/>
      <w:headerReference w:type="default" r:id="rId16"/>
      <w:footerReference w:type="even" r:id="rId17"/>
      <w:footerReference w:type="default" r:id="rId18"/>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6620E5" w14:textId="77777777" w:rsidR="00F15A6B" w:rsidRDefault="00F15A6B">
      <w:r>
        <w:separator/>
      </w:r>
    </w:p>
  </w:endnote>
  <w:endnote w:type="continuationSeparator" w:id="0">
    <w:p w14:paraId="758B5DD8" w14:textId="77777777" w:rsidR="00F15A6B" w:rsidRDefault="00F15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52C820" w14:textId="77777777" w:rsidR="00F15A6B" w:rsidRDefault="00F15A6B">
      <w:r>
        <w:separator/>
      </w:r>
    </w:p>
  </w:footnote>
  <w:footnote w:type="continuationSeparator" w:id="0">
    <w:p w14:paraId="1738F71D" w14:textId="77777777" w:rsidR="00F15A6B" w:rsidRDefault="00F15A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F15A6B"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5864"/>
    <w:rsid w:val="00037EC9"/>
    <w:rsid w:val="0004745A"/>
    <w:rsid w:val="000547E0"/>
    <w:rsid w:val="0005666F"/>
    <w:rsid w:val="00061893"/>
    <w:rsid w:val="00071AA4"/>
    <w:rsid w:val="00072315"/>
    <w:rsid w:val="0008284A"/>
    <w:rsid w:val="000834E6"/>
    <w:rsid w:val="0008354F"/>
    <w:rsid w:val="00085FBD"/>
    <w:rsid w:val="000907D2"/>
    <w:rsid w:val="000974A4"/>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0C45"/>
    <w:rsid w:val="001115F2"/>
    <w:rsid w:val="001128F8"/>
    <w:rsid w:val="00114CA1"/>
    <w:rsid w:val="00116659"/>
    <w:rsid w:val="00126BFE"/>
    <w:rsid w:val="00126EE7"/>
    <w:rsid w:val="00127FD4"/>
    <w:rsid w:val="00135365"/>
    <w:rsid w:val="00135DB6"/>
    <w:rsid w:val="00136917"/>
    <w:rsid w:val="00144143"/>
    <w:rsid w:val="00145D63"/>
    <w:rsid w:val="0014687B"/>
    <w:rsid w:val="0015313D"/>
    <w:rsid w:val="00153296"/>
    <w:rsid w:val="001564D3"/>
    <w:rsid w:val="0015764D"/>
    <w:rsid w:val="00157A7D"/>
    <w:rsid w:val="00164D54"/>
    <w:rsid w:val="00171AD6"/>
    <w:rsid w:val="001748F6"/>
    <w:rsid w:val="00174DAB"/>
    <w:rsid w:val="00181EB4"/>
    <w:rsid w:val="00184D64"/>
    <w:rsid w:val="0019020C"/>
    <w:rsid w:val="00192939"/>
    <w:rsid w:val="00195902"/>
    <w:rsid w:val="00197BC7"/>
    <w:rsid w:val="001A293C"/>
    <w:rsid w:val="001A2F21"/>
    <w:rsid w:val="001A7A69"/>
    <w:rsid w:val="001B09A2"/>
    <w:rsid w:val="001B11F8"/>
    <w:rsid w:val="001B1EC4"/>
    <w:rsid w:val="001B54D8"/>
    <w:rsid w:val="001C54D8"/>
    <w:rsid w:val="001C7378"/>
    <w:rsid w:val="001D3492"/>
    <w:rsid w:val="001D43BA"/>
    <w:rsid w:val="001E178F"/>
    <w:rsid w:val="001E18FB"/>
    <w:rsid w:val="001F03CE"/>
    <w:rsid w:val="001F2AAD"/>
    <w:rsid w:val="002027D5"/>
    <w:rsid w:val="00203730"/>
    <w:rsid w:val="00204601"/>
    <w:rsid w:val="00211D8D"/>
    <w:rsid w:val="002124A4"/>
    <w:rsid w:val="00224534"/>
    <w:rsid w:val="00230B40"/>
    <w:rsid w:val="00232255"/>
    <w:rsid w:val="00232FCE"/>
    <w:rsid w:val="0023365F"/>
    <w:rsid w:val="00236586"/>
    <w:rsid w:val="00241A92"/>
    <w:rsid w:val="00247DB6"/>
    <w:rsid w:val="002523FA"/>
    <w:rsid w:val="002617EF"/>
    <w:rsid w:val="002676D2"/>
    <w:rsid w:val="00267C0F"/>
    <w:rsid w:val="0027168B"/>
    <w:rsid w:val="00271D21"/>
    <w:rsid w:val="00274C59"/>
    <w:rsid w:val="00276975"/>
    <w:rsid w:val="0028754F"/>
    <w:rsid w:val="002A4DD9"/>
    <w:rsid w:val="002B0067"/>
    <w:rsid w:val="002B0171"/>
    <w:rsid w:val="002B2532"/>
    <w:rsid w:val="002B6ECD"/>
    <w:rsid w:val="002D36E1"/>
    <w:rsid w:val="002D5654"/>
    <w:rsid w:val="002E5FC0"/>
    <w:rsid w:val="002E6214"/>
    <w:rsid w:val="002E6281"/>
    <w:rsid w:val="002E73F2"/>
    <w:rsid w:val="002F29F9"/>
    <w:rsid w:val="002F500D"/>
    <w:rsid w:val="002F5F94"/>
    <w:rsid w:val="002F7B2A"/>
    <w:rsid w:val="00300126"/>
    <w:rsid w:val="00302907"/>
    <w:rsid w:val="00304E6C"/>
    <w:rsid w:val="00312908"/>
    <w:rsid w:val="00313E29"/>
    <w:rsid w:val="00321C4D"/>
    <w:rsid w:val="0032487E"/>
    <w:rsid w:val="00331DA5"/>
    <w:rsid w:val="003337B7"/>
    <w:rsid w:val="0033687D"/>
    <w:rsid w:val="0033788B"/>
    <w:rsid w:val="00353A66"/>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19EA"/>
    <w:rsid w:val="003A2C63"/>
    <w:rsid w:val="003A7524"/>
    <w:rsid w:val="003B0937"/>
    <w:rsid w:val="003B0B22"/>
    <w:rsid w:val="003B23B9"/>
    <w:rsid w:val="003B5DEC"/>
    <w:rsid w:val="003B5E51"/>
    <w:rsid w:val="003C0299"/>
    <w:rsid w:val="003C262C"/>
    <w:rsid w:val="003C36A0"/>
    <w:rsid w:val="003C4441"/>
    <w:rsid w:val="003C5555"/>
    <w:rsid w:val="003D585B"/>
    <w:rsid w:val="003D7634"/>
    <w:rsid w:val="003E1C81"/>
    <w:rsid w:val="00401750"/>
    <w:rsid w:val="00402686"/>
    <w:rsid w:val="00407D78"/>
    <w:rsid w:val="00413EED"/>
    <w:rsid w:val="00417229"/>
    <w:rsid w:val="00420A1A"/>
    <w:rsid w:val="004246F2"/>
    <w:rsid w:val="0042749D"/>
    <w:rsid w:val="004342E7"/>
    <w:rsid w:val="004365E2"/>
    <w:rsid w:val="0044089F"/>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4F6ED4"/>
    <w:rsid w:val="00506FDA"/>
    <w:rsid w:val="005102E6"/>
    <w:rsid w:val="00511564"/>
    <w:rsid w:val="00511A82"/>
    <w:rsid w:val="00514A25"/>
    <w:rsid w:val="005166DA"/>
    <w:rsid w:val="00516C2C"/>
    <w:rsid w:val="00530BEA"/>
    <w:rsid w:val="00530E07"/>
    <w:rsid w:val="005347D5"/>
    <w:rsid w:val="00536D3D"/>
    <w:rsid w:val="0054001B"/>
    <w:rsid w:val="005412E5"/>
    <w:rsid w:val="00543DF0"/>
    <w:rsid w:val="0054704B"/>
    <w:rsid w:val="00547A97"/>
    <w:rsid w:val="00547E65"/>
    <w:rsid w:val="00550491"/>
    <w:rsid w:val="00551612"/>
    <w:rsid w:val="00552D6B"/>
    <w:rsid w:val="00553EB9"/>
    <w:rsid w:val="00560752"/>
    <w:rsid w:val="00561589"/>
    <w:rsid w:val="00570ECD"/>
    <w:rsid w:val="0057286A"/>
    <w:rsid w:val="005728A1"/>
    <w:rsid w:val="00573A31"/>
    <w:rsid w:val="00574259"/>
    <w:rsid w:val="0057494D"/>
    <w:rsid w:val="0058314B"/>
    <w:rsid w:val="00591D05"/>
    <w:rsid w:val="00594611"/>
    <w:rsid w:val="005962E0"/>
    <w:rsid w:val="005A3960"/>
    <w:rsid w:val="005A4658"/>
    <w:rsid w:val="005A6F08"/>
    <w:rsid w:val="005B2698"/>
    <w:rsid w:val="005B4429"/>
    <w:rsid w:val="005B4532"/>
    <w:rsid w:val="005C3EEE"/>
    <w:rsid w:val="005C5BA0"/>
    <w:rsid w:val="005C772A"/>
    <w:rsid w:val="005D1905"/>
    <w:rsid w:val="005D1E56"/>
    <w:rsid w:val="005D2D8F"/>
    <w:rsid w:val="005D5127"/>
    <w:rsid w:val="005E185E"/>
    <w:rsid w:val="005E6685"/>
    <w:rsid w:val="005E66BE"/>
    <w:rsid w:val="00600922"/>
    <w:rsid w:val="00616DBD"/>
    <w:rsid w:val="00622A3C"/>
    <w:rsid w:val="00627D09"/>
    <w:rsid w:val="00627D53"/>
    <w:rsid w:val="00630F23"/>
    <w:rsid w:val="00631C1D"/>
    <w:rsid w:val="006332BD"/>
    <w:rsid w:val="0063552B"/>
    <w:rsid w:val="00635FED"/>
    <w:rsid w:val="00637238"/>
    <w:rsid w:val="006517AF"/>
    <w:rsid w:val="006665BD"/>
    <w:rsid w:val="006666EF"/>
    <w:rsid w:val="00670C46"/>
    <w:rsid w:val="00670FEA"/>
    <w:rsid w:val="00676799"/>
    <w:rsid w:val="00677932"/>
    <w:rsid w:val="0068349C"/>
    <w:rsid w:val="00683699"/>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3A48"/>
    <w:rsid w:val="00745DDF"/>
    <w:rsid w:val="00753B12"/>
    <w:rsid w:val="00756296"/>
    <w:rsid w:val="00757993"/>
    <w:rsid w:val="00761419"/>
    <w:rsid w:val="0076246E"/>
    <w:rsid w:val="007659FB"/>
    <w:rsid w:val="0077038E"/>
    <w:rsid w:val="007720C9"/>
    <w:rsid w:val="00772FAE"/>
    <w:rsid w:val="00776F0C"/>
    <w:rsid w:val="007778BB"/>
    <w:rsid w:val="0078320A"/>
    <w:rsid w:val="00783939"/>
    <w:rsid w:val="0079216F"/>
    <w:rsid w:val="00794EAF"/>
    <w:rsid w:val="00796A94"/>
    <w:rsid w:val="00796DD4"/>
    <w:rsid w:val="007A46C7"/>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52CC"/>
    <w:rsid w:val="008271E0"/>
    <w:rsid w:val="00827EA9"/>
    <w:rsid w:val="00834F56"/>
    <w:rsid w:val="00841870"/>
    <w:rsid w:val="00843BD2"/>
    <w:rsid w:val="00845B79"/>
    <w:rsid w:val="00847418"/>
    <w:rsid w:val="008520B7"/>
    <w:rsid w:val="0085233D"/>
    <w:rsid w:val="008543C8"/>
    <w:rsid w:val="00854CBD"/>
    <w:rsid w:val="00855BC2"/>
    <w:rsid w:val="00862923"/>
    <w:rsid w:val="00864693"/>
    <w:rsid w:val="00865254"/>
    <w:rsid w:val="008657B8"/>
    <w:rsid w:val="00865889"/>
    <w:rsid w:val="00872A24"/>
    <w:rsid w:val="00873EF9"/>
    <w:rsid w:val="008747A5"/>
    <w:rsid w:val="00875C8C"/>
    <w:rsid w:val="008764A3"/>
    <w:rsid w:val="0087711A"/>
    <w:rsid w:val="0088769A"/>
    <w:rsid w:val="008905EB"/>
    <w:rsid w:val="00890B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68EA"/>
    <w:rsid w:val="00951A8F"/>
    <w:rsid w:val="009521CF"/>
    <w:rsid w:val="00953A4E"/>
    <w:rsid w:val="00955836"/>
    <w:rsid w:val="00955952"/>
    <w:rsid w:val="00955E3A"/>
    <w:rsid w:val="0095715F"/>
    <w:rsid w:val="009635E0"/>
    <w:rsid w:val="00966AA6"/>
    <w:rsid w:val="00973004"/>
    <w:rsid w:val="00984C87"/>
    <w:rsid w:val="0098730C"/>
    <w:rsid w:val="009A17D9"/>
    <w:rsid w:val="009A4E3A"/>
    <w:rsid w:val="009A6482"/>
    <w:rsid w:val="009A7124"/>
    <w:rsid w:val="009B006D"/>
    <w:rsid w:val="009B05FC"/>
    <w:rsid w:val="009B2B9C"/>
    <w:rsid w:val="009B390A"/>
    <w:rsid w:val="009B49F3"/>
    <w:rsid w:val="009B695B"/>
    <w:rsid w:val="009C3268"/>
    <w:rsid w:val="009C4BF5"/>
    <w:rsid w:val="009D126B"/>
    <w:rsid w:val="009D751F"/>
    <w:rsid w:val="009E503B"/>
    <w:rsid w:val="009E5133"/>
    <w:rsid w:val="009F2F95"/>
    <w:rsid w:val="009F4C3F"/>
    <w:rsid w:val="00A15E09"/>
    <w:rsid w:val="00A269BE"/>
    <w:rsid w:val="00A308F2"/>
    <w:rsid w:val="00A3330A"/>
    <w:rsid w:val="00A34B87"/>
    <w:rsid w:val="00A35EAA"/>
    <w:rsid w:val="00A429D8"/>
    <w:rsid w:val="00A44C3F"/>
    <w:rsid w:val="00A463E9"/>
    <w:rsid w:val="00A51C09"/>
    <w:rsid w:val="00A55983"/>
    <w:rsid w:val="00A57ADB"/>
    <w:rsid w:val="00A635B5"/>
    <w:rsid w:val="00A642AD"/>
    <w:rsid w:val="00A6577F"/>
    <w:rsid w:val="00A72EA9"/>
    <w:rsid w:val="00A73529"/>
    <w:rsid w:val="00A76B3C"/>
    <w:rsid w:val="00A82A22"/>
    <w:rsid w:val="00A90CC7"/>
    <w:rsid w:val="00A94C02"/>
    <w:rsid w:val="00A974CF"/>
    <w:rsid w:val="00AA0391"/>
    <w:rsid w:val="00AA7623"/>
    <w:rsid w:val="00AA7FCC"/>
    <w:rsid w:val="00AB054F"/>
    <w:rsid w:val="00AB1505"/>
    <w:rsid w:val="00AB3BAB"/>
    <w:rsid w:val="00AC0BD9"/>
    <w:rsid w:val="00AC2D3E"/>
    <w:rsid w:val="00AC38B3"/>
    <w:rsid w:val="00AC48E0"/>
    <w:rsid w:val="00AC49BA"/>
    <w:rsid w:val="00AC5290"/>
    <w:rsid w:val="00AD22F3"/>
    <w:rsid w:val="00AE05E6"/>
    <w:rsid w:val="00AE4E46"/>
    <w:rsid w:val="00AE5F1E"/>
    <w:rsid w:val="00AF4C87"/>
    <w:rsid w:val="00B001E1"/>
    <w:rsid w:val="00B00B5A"/>
    <w:rsid w:val="00B00F6A"/>
    <w:rsid w:val="00B01233"/>
    <w:rsid w:val="00B0181C"/>
    <w:rsid w:val="00B1040C"/>
    <w:rsid w:val="00B11891"/>
    <w:rsid w:val="00B30373"/>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6FE8"/>
    <w:rsid w:val="00BB5B1F"/>
    <w:rsid w:val="00BC1858"/>
    <w:rsid w:val="00BC4B06"/>
    <w:rsid w:val="00BC5046"/>
    <w:rsid w:val="00BC5AE0"/>
    <w:rsid w:val="00BC6D20"/>
    <w:rsid w:val="00BE0B46"/>
    <w:rsid w:val="00BE0CC1"/>
    <w:rsid w:val="00BE39D4"/>
    <w:rsid w:val="00BE7464"/>
    <w:rsid w:val="00BF2898"/>
    <w:rsid w:val="00BF3E7B"/>
    <w:rsid w:val="00BF5548"/>
    <w:rsid w:val="00BF67CA"/>
    <w:rsid w:val="00C0181F"/>
    <w:rsid w:val="00C01FD0"/>
    <w:rsid w:val="00C17E9D"/>
    <w:rsid w:val="00C22B02"/>
    <w:rsid w:val="00C2317D"/>
    <w:rsid w:val="00C23986"/>
    <w:rsid w:val="00C26ECB"/>
    <w:rsid w:val="00C32A6C"/>
    <w:rsid w:val="00C33159"/>
    <w:rsid w:val="00C3392D"/>
    <w:rsid w:val="00C34993"/>
    <w:rsid w:val="00C362DA"/>
    <w:rsid w:val="00C37BB9"/>
    <w:rsid w:val="00C464C2"/>
    <w:rsid w:val="00C56592"/>
    <w:rsid w:val="00C60318"/>
    <w:rsid w:val="00C62B9C"/>
    <w:rsid w:val="00C714EF"/>
    <w:rsid w:val="00C84C4E"/>
    <w:rsid w:val="00C9561A"/>
    <w:rsid w:val="00C971A7"/>
    <w:rsid w:val="00CA1627"/>
    <w:rsid w:val="00CB406F"/>
    <w:rsid w:val="00CC31A8"/>
    <w:rsid w:val="00CE059F"/>
    <w:rsid w:val="00CF0AC7"/>
    <w:rsid w:val="00CF27FC"/>
    <w:rsid w:val="00D0113A"/>
    <w:rsid w:val="00D01FC6"/>
    <w:rsid w:val="00D046EF"/>
    <w:rsid w:val="00D04B3C"/>
    <w:rsid w:val="00D1280A"/>
    <w:rsid w:val="00D14016"/>
    <w:rsid w:val="00D147CE"/>
    <w:rsid w:val="00D16510"/>
    <w:rsid w:val="00D2159A"/>
    <w:rsid w:val="00D26F2A"/>
    <w:rsid w:val="00D27BFE"/>
    <w:rsid w:val="00D35785"/>
    <w:rsid w:val="00D40B52"/>
    <w:rsid w:val="00D41153"/>
    <w:rsid w:val="00D4640D"/>
    <w:rsid w:val="00D51190"/>
    <w:rsid w:val="00D53F70"/>
    <w:rsid w:val="00D5520C"/>
    <w:rsid w:val="00D57C38"/>
    <w:rsid w:val="00D6522B"/>
    <w:rsid w:val="00D65484"/>
    <w:rsid w:val="00D7073C"/>
    <w:rsid w:val="00D76455"/>
    <w:rsid w:val="00D776CF"/>
    <w:rsid w:val="00D77DAD"/>
    <w:rsid w:val="00D817F3"/>
    <w:rsid w:val="00D83FF4"/>
    <w:rsid w:val="00D92CBE"/>
    <w:rsid w:val="00D94784"/>
    <w:rsid w:val="00DA7015"/>
    <w:rsid w:val="00DA7F94"/>
    <w:rsid w:val="00DB127F"/>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F7B3F"/>
    <w:rsid w:val="00E01414"/>
    <w:rsid w:val="00E04BB6"/>
    <w:rsid w:val="00E05A3E"/>
    <w:rsid w:val="00E06302"/>
    <w:rsid w:val="00E12A78"/>
    <w:rsid w:val="00E13C19"/>
    <w:rsid w:val="00E16AD2"/>
    <w:rsid w:val="00E217EF"/>
    <w:rsid w:val="00E21D48"/>
    <w:rsid w:val="00E26531"/>
    <w:rsid w:val="00E4332A"/>
    <w:rsid w:val="00E435FF"/>
    <w:rsid w:val="00E47BA6"/>
    <w:rsid w:val="00E5265B"/>
    <w:rsid w:val="00E53237"/>
    <w:rsid w:val="00E551F4"/>
    <w:rsid w:val="00E6328D"/>
    <w:rsid w:val="00E64681"/>
    <w:rsid w:val="00E6568A"/>
    <w:rsid w:val="00E66420"/>
    <w:rsid w:val="00E6754B"/>
    <w:rsid w:val="00E70CA3"/>
    <w:rsid w:val="00E72561"/>
    <w:rsid w:val="00E76A6A"/>
    <w:rsid w:val="00E77C6F"/>
    <w:rsid w:val="00E8687F"/>
    <w:rsid w:val="00E87BF5"/>
    <w:rsid w:val="00E95C1A"/>
    <w:rsid w:val="00EA05E4"/>
    <w:rsid w:val="00EA2D0B"/>
    <w:rsid w:val="00EA54C8"/>
    <w:rsid w:val="00EB08D8"/>
    <w:rsid w:val="00EB0CC8"/>
    <w:rsid w:val="00EB6E68"/>
    <w:rsid w:val="00EB7F92"/>
    <w:rsid w:val="00EC3571"/>
    <w:rsid w:val="00EC45AE"/>
    <w:rsid w:val="00EC742F"/>
    <w:rsid w:val="00EE012C"/>
    <w:rsid w:val="00EE5BFC"/>
    <w:rsid w:val="00EE5F77"/>
    <w:rsid w:val="00EE6BF3"/>
    <w:rsid w:val="00EE7612"/>
    <w:rsid w:val="00EF07F2"/>
    <w:rsid w:val="00EF09B4"/>
    <w:rsid w:val="00EF141D"/>
    <w:rsid w:val="00EF16BB"/>
    <w:rsid w:val="00EF33EC"/>
    <w:rsid w:val="00EF3CBC"/>
    <w:rsid w:val="00EF6628"/>
    <w:rsid w:val="00EF67FC"/>
    <w:rsid w:val="00F0335B"/>
    <w:rsid w:val="00F03EC5"/>
    <w:rsid w:val="00F0473F"/>
    <w:rsid w:val="00F05FA3"/>
    <w:rsid w:val="00F06D40"/>
    <w:rsid w:val="00F11343"/>
    <w:rsid w:val="00F15A6B"/>
    <w:rsid w:val="00F15D69"/>
    <w:rsid w:val="00F25B95"/>
    <w:rsid w:val="00F266FB"/>
    <w:rsid w:val="00F331F2"/>
    <w:rsid w:val="00F3777D"/>
    <w:rsid w:val="00F37851"/>
    <w:rsid w:val="00F40520"/>
    <w:rsid w:val="00F43F00"/>
    <w:rsid w:val="00F50BB1"/>
    <w:rsid w:val="00F51222"/>
    <w:rsid w:val="00F55CD3"/>
    <w:rsid w:val="00F57E72"/>
    <w:rsid w:val="00F632F4"/>
    <w:rsid w:val="00F75690"/>
    <w:rsid w:val="00F76023"/>
    <w:rsid w:val="00F763D9"/>
    <w:rsid w:val="00F80C66"/>
    <w:rsid w:val="00F822A9"/>
    <w:rsid w:val="00F83ABA"/>
    <w:rsid w:val="00F83DD6"/>
    <w:rsid w:val="00F860F1"/>
    <w:rsid w:val="00F95B9A"/>
    <w:rsid w:val="00F96779"/>
    <w:rsid w:val="00F97FCB"/>
    <w:rsid w:val="00FA0A06"/>
    <w:rsid w:val="00FA5D18"/>
    <w:rsid w:val="00FA7291"/>
    <w:rsid w:val="00FB433D"/>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thong-tu-35-2013-tt-nhnn.aspx" TargetMode="External"/><Relationship Id="rId13" Type="http://schemas.openxmlformats.org/officeDocument/2006/relationships/hyperlink" Target="https://admin.luatminhkhue.vn/van-ban/nghi-dinh-156-2013-nd-cp-quy-dinh-chuc-nang-nhiem-vu-to-chuc-ngan-hang-nha-nuoc-viet-nam.aspx"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admin.luatminhkhue.vn/van-ban/thong-tu-so-31-2014-tt-nhnn.aspx" TargetMode="External"/><Relationship Id="rId12" Type="http://schemas.openxmlformats.org/officeDocument/2006/relationships/hyperlink" Target="https://admin.luatminhkhue.vn/van-ban/nghi-dinh-116-2013-nd-cp-cua-chinh-phu-ve-viec-quy-dinh-chi-tiet-thi-hanh-mot-so-dieu-cua-luat-phong-chong-rua-tien.aspx"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luat-phong-chong-khung-bo-nam-2013.aspx"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admin.luatminhkhue.vn/van-ban/luat-phong-chong-rua-tien-nam-2012.asp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dmin.luatminhkhue.vn/van-ban/luat-ngan-hang-nha-nuoc-viet-nam-nam-2010.aspx" TargetMode="External"/><Relationship Id="rId14" Type="http://schemas.openxmlformats.org/officeDocument/2006/relationships/hyperlink" Target="https://admin.luatminhkhue.vn/van-ban/thong-tu-35-2013-tt-nhnn.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421</TotalTime>
  <Pages>4</Pages>
  <Words>1568</Words>
  <Characters>8938</Characters>
  <Application>Microsoft Office Word</Application>
  <DocSecurity>0</DocSecurity>
  <Lines>74</Lines>
  <Paragraphs>20</Paragraphs>
  <ScaleCrop>false</ScaleCrop>
  <Company/>
  <LinksUpToDate>false</LinksUpToDate>
  <CharactersWithSpaces>10486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325</cp:revision>
  <dcterms:created xsi:type="dcterms:W3CDTF">2024-12-02T03:13:00Z</dcterms:created>
  <dcterms:modified xsi:type="dcterms:W3CDTF">2025-01-10T05:08:00Z</dcterms:modified>
</cp:coreProperties>
</file>