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56"/>
        <w:gridCol w:w="5248"/>
      </w:tblGrid>
      <w:tr w:rsidR="00D9280B" w14:paraId="4EBCF659" w14:textId="77777777" w:rsidTr="00D9280B">
        <w:trPr>
          <w:tblCellSpacing w:w="0" w:type="dxa"/>
        </w:trPr>
        <w:tc>
          <w:tcPr>
            <w:tcW w:w="36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A8969" w14:textId="77777777" w:rsidR="00D9280B" w:rsidRDefault="00D9280B">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CÔNG AN - VIỆN KIỂM SÁT NHÂN DÂN TỐI CAO - TÒA ÁN NHÂN DÂN TỐI CAO - BỘ TƯ PHÁP</w:t>
            </w:r>
            <w:r>
              <w:rPr>
                <w:rFonts w:ascii="Arial" w:hAnsi="Arial" w:cs="Arial"/>
                <w:b/>
                <w:bCs/>
                <w:sz w:val="21"/>
                <w:szCs w:val="21"/>
              </w:rPr>
              <w:br/>
            </w:r>
            <w:r>
              <w:rPr>
                <w:rStyle w:val="Strong"/>
                <w:rFonts w:ascii="Arial" w:hAnsi="Arial" w:cs="Arial"/>
                <w:sz w:val="21"/>
                <w:szCs w:val="21"/>
              </w:rPr>
              <w:t>------</w:t>
            </w:r>
          </w:p>
        </w:tc>
        <w:tc>
          <w:tcPr>
            <w:tcW w:w="5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65237" w14:textId="77777777" w:rsidR="00D9280B" w:rsidRDefault="00D9280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9280B" w14:paraId="700D8C42" w14:textId="77777777" w:rsidTr="00D9280B">
        <w:trPr>
          <w:tblCellSpacing w:w="0" w:type="dxa"/>
        </w:trPr>
        <w:tc>
          <w:tcPr>
            <w:tcW w:w="36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3A387" w14:textId="77777777" w:rsidR="00D9280B" w:rsidRDefault="00D9280B">
            <w:pPr>
              <w:pStyle w:val="NormalWeb"/>
              <w:spacing w:after="90" w:afterAutospacing="0" w:line="345" w:lineRule="atLeast"/>
              <w:jc w:val="center"/>
              <w:rPr>
                <w:rFonts w:ascii="Arial" w:hAnsi="Arial" w:cs="Arial"/>
                <w:sz w:val="21"/>
                <w:szCs w:val="21"/>
              </w:rPr>
            </w:pPr>
            <w:r>
              <w:rPr>
                <w:rFonts w:ascii="Arial" w:hAnsi="Arial" w:cs="Arial"/>
                <w:sz w:val="21"/>
                <w:szCs w:val="21"/>
              </w:rPr>
              <w:t>Số: 17/2007/TTLT-BCA-VKSNDTC-TANDTC-BTP</w:t>
            </w:r>
          </w:p>
        </w:tc>
        <w:tc>
          <w:tcPr>
            <w:tcW w:w="5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53ACD" w14:textId="77777777" w:rsidR="00D9280B" w:rsidRDefault="00D9280B">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24 tháng 12 năm 2007</w:t>
            </w:r>
          </w:p>
        </w:tc>
      </w:tr>
    </w:tbl>
    <w:p w14:paraId="52CAAC3F" w14:textId="77777777" w:rsidR="00D9280B" w:rsidRDefault="00D9280B" w:rsidP="00D9280B">
      <w:pPr>
        <w:pStyle w:val="NormalWeb"/>
        <w:spacing w:after="90" w:afterAutospacing="0" w:line="345" w:lineRule="atLeast"/>
        <w:rPr>
          <w:rFonts w:ascii="Arial" w:hAnsi="Arial" w:cs="Arial"/>
          <w:szCs w:val="24"/>
        </w:rPr>
      </w:pPr>
    </w:p>
    <w:p w14:paraId="443ED8DC" w14:textId="77777777" w:rsidR="00D9280B" w:rsidRDefault="00D9280B" w:rsidP="00D9280B">
      <w:pPr>
        <w:pStyle w:val="NormalWeb"/>
        <w:spacing w:after="90" w:afterAutospacing="0" w:line="345" w:lineRule="atLeast"/>
        <w:jc w:val="center"/>
        <w:rPr>
          <w:rFonts w:ascii="Arial" w:hAnsi="Arial" w:cs="Arial"/>
        </w:rPr>
      </w:pPr>
      <w:r>
        <w:rPr>
          <w:rStyle w:val="Strong"/>
          <w:rFonts w:ascii="Arial" w:hAnsi="Arial" w:cs="Arial"/>
          <w:sz w:val="21"/>
          <w:szCs w:val="21"/>
        </w:rPr>
        <w:t>THÔNG TƯ LIÊN TỊCH</w:t>
      </w:r>
    </w:p>
    <w:p w14:paraId="3A123FF2" w14:textId="77777777" w:rsidR="00D9280B" w:rsidRDefault="00D9280B" w:rsidP="00D9280B">
      <w:pPr>
        <w:pStyle w:val="NormalWeb"/>
        <w:spacing w:after="90" w:afterAutospacing="0" w:line="345" w:lineRule="atLeast"/>
        <w:jc w:val="center"/>
        <w:rPr>
          <w:rFonts w:ascii="Arial" w:hAnsi="Arial" w:cs="Arial"/>
        </w:rPr>
      </w:pPr>
      <w:r>
        <w:rPr>
          <w:rFonts w:ascii="Arial" w:hAnsi="Arial" w:cs="Arial"/>
        </w:rPr>
        <w:t>HƯỚNG DẪN ÁP DỤNG MỘT SỐ QUY ĐỊNH TẠI CHƯƠNG XVIII “CÁC TỘI PHẠM VỀ MA TÚY” CỦA BỘ LUẬT HÌNH SỰ NĂM 1999</w:t>
      </w:r>
    </w:p>
    <w:p w14:paraId="692C007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Để áp dụng đúng và thống nhất các quy định tại Chương XVIII “Các tội phạm về ma túy” của </w:t>
      </w:r>
      <w:hyperlink r:id="rId7" w:history="1">
        <w:r>
          <w:rPr>
            <w:rStyle w:val="Hyperlink"/>
            <w:rFonts w:ascii="Arial" w:hAnsi="Arial" w:cs="Arial"/>
            <w:color w:val="135ECD"/>
            <w:sz w:val="21"/>
            <w:szCs w:val="21"/>
          </w:rPr>
          <w:t>Bộ luật hình sự năm 1999</w:t>
        </w:r>
      </w:hyperlink>
      <w:r>
        <w:rPr>
          <w:rFonts w:ascii="Arial" w:hAnsi="Arial" w:cs="Arial"/>
        </w:rPr>
        <w:t> (sau đây viết tắt là BLHS), Bộ Công an, Viện Kiểm sát nhân dân tối cao, Tòa án nhân dân tối cao, Bộ Tư pháp thống nhất hướng dẫn một số điểm như sau:</w:t>
      </w:r>
    </w:p>
    <w:p w14:paraId="581A3E4D" w14:textId="77777777" w:rsidR="00D9280B" w:rsidRDefault="00D9280B" w:rsidP="00D9280B">
      <w:pPr>
        <w:pStyle w:val="NormalWeb"/>
        <w:spacing w:after="90" w:afterAutospacing="0" w:line="345" w:lineRule="atLeast"/>
        <w:jc w:val="both"/>
        <w:rPr>
          <w:rFonts w:ascii="Arial" w:hAnsi="Arial" w:cs="Arial"/>
        </w:rPr>
      </w:pPr>
      <w:r>
        <w:rPr>
          <w:rStyle w:val="Strong"/>
          <w:rFonts w:ascii="Arial" w:hAnsi="Arial" w:cs="Arial"/>
          <w:sz w:val="21"/>
          <w:szCs w:val="21"/>
        </w:rPr>
        <w:t>I. VỀ MỘT SỐ KHÁI NIỆM VÀ MỘT SỐ TÌNH TIẾT LÀ YẾU TỐ ĐỊNH TỘI HOẶC ĐỊNH KHUNG HÌNH PHẠT</w:t>
      </w:r>
    </w:p>
    <w:p w14:paraId="01D4F9D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 Về một số khái niệm</w:t>
      </w:r>
    </w:p>
    <w:p w14:paraId="6281C68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1.1. “Chất ma túy” là các chất gây nghiện, chất hướng thần được quy định trong các danh mục chất ma túy do Chính phủ ban hành. Trong đó, cần phân biệt các trường hợp sau:</w:t>
      </w:r>
    </w:p>
    <w:p w14:paraId="27AB35C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Đối với các chất ma túy ở thể rắn được hòa thành dung dịch (như dung dịch thuốc phiện, dung dịch hêrôin dùng để tiêm, chích) hoặc chất ma túy ở thể lỏng đã được pha loãng để tiện cho việc sử dụng thì không coi toàn bộ dung dịch này là chất ma túy ở thể lỏng mà cần xác định hàm lượng moocphin trong dung dịch để tính trọng lượng của chất ma túy đó;</w:t>
      </w:r>
    </w:p>
    <w:p w14:paraId="6E3B6F0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Đối với xái thuốc phiện thì không coi là nhựa thuốc phiện mà phải xác định hàm lượng moocphin trong xái thuốc phiện để tính trọng lượng của thuốc phiện.</w:t>
      </w:r>
    </w:p>
    <w:p w14:paraId="792062C5"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1.2. “Tiền chất dùng vào việc sản xuất trái phép chất ma túy” là các hóa chất không thể thiếu được trong quá trình điều chế, sản xuất chất ma túy được quy định trong các danh mục tiền chất do Chính phủ ban hành.</w:t>
      </w:r>
    </w:p>
    <w:p w14:paraId="6A7A14F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1.3. “Phương tiện, dụng cụ dùng vào việc sản xuất hoặc sử dụng trái phép chất ma túy” là những vật được sản xuất ra với chức năng chuyên dùng vào việc sản xuất hoặc sử dụng trái phép chất ma túy hay tuy được sản xuất ra với mục đích khác, nhưng đã được sử dụng chuyên vào mục đích sản xuất hoặc sử dụng trái phép chất ma túy.</w:t>
      </w:r>
    </w:p>
    <w:p w14:paraId="6883ACE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1.4. Trong mọi trường hợp, khi thu giữ được các chất nghi là chất ma túy hoặc tiền chất dùng vào việc sản xuất trái phép chất ma túy thì đều phải trưng cầu giám định để xác định loại, hàm lượng, trọng lượng chất ma túy, tiền chất. Nếu chất được giám định không phải là chất ma túy hoặc không phải là tiền chất dùng vào việc sản xuất trái phép chất ma túy, nhưng người thực hiện hành vi ý thức rằng chất đó là chất ma túy hoặc chất đó là tiền chất dùng vào việc sản xuất trái phép chất ma túy, thì tùy hành vi phạm tội cụ thể mà truy cứu trách nhiệm hình sự người đó theo tội danh quy định tại khoản 1 của điều luật tương ứng đối với các tội phạm về ma túy.</w:t>
      </w:r>
    </w:p>
    <w:p w14:paraId="1E8E3F2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Trường hợp một người biết là chất ma túy giả nhưng làm cho người khác tưởng là chất ma túy thật nên mua bán, trao đổi… thì người đó không bị truy cứu trách nhiệm hình sự về tội phạm về ma túy mà bị truy cứu trách nhiệm hình sự về tội lừa đảo chiếm đoạt tài sản theo Điều 139 BLHS, nếu thỏa mãn các dấu hiệu khác nữa trong cấu thành tội phạm của tội này.</w:t>
      </w:r>
    </w:p>
    <w:p w14:paraId="521A0F2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 Về một số tình tiết là yếu tố định tội hoặc định khung hình phạt.</w:t>
      </w:r>
    </w:p>
    <w:p w14:paraId="4CC3AC9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2.1. Tình tiết “lợi dụng chức vụ, quyền hạn” quy định tại khoản 2 các điều 193, 194, 195, 196 và 198 của BLHS, được hiểu là người phạm tội đã dựa vào chức vụ, quyền hạn mà mình được đảm nhiệm để thực hiện hành vi phạm tội.</w:t>
      </w:r>
    </w:p>
    <w:p w14:paraId="09C13F3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2.2. Tình tiết “lợi dụng danh nghĩa cơ quan, tổ chức” quy định tại khoản 2 các điều 193, 194, 195 và 196 của BLHS được hiểu là người phạm tội đã lợi dụng danh nghĩa cơ quan, tổ chức nơi họ làm việc hoặc công tác để thực hiện hành vi phạm tội.</w:t>
      </w:r>
    </w:p>
    <w:p w14:paraId="55A35F2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2.3. Tình tiết “phạm tội nhiều lần” quy định tại khoản 2 các điều 193, 194, 195, 196, 197, 198, 200 và 201 của BLHS được hiểu là đã có từ hai lần phạm tội trở lên (hai lần sản xuất trái phép chất ma túy trở lên, hai lần tàng trữ trái phép chất ma túy trở lên, hai lần bán trái phép chất ma túy trở lên…) mà mỗi lần phạm tội có đủ yếu tố cấu thành tội phạm quy định tại khoản 1 điều luật tương ứng, đồng thời trong số các lần phạm tội đó chưa có lần nào bị truy cứu trách nhiệm hình sự và chưa hết thời hiệu truy cứu trách nhiệm hình sự.</w:t>
      </w:r>
    </w:p>
    <w:p w14:paraId="77860EC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Trong trường hợp này người phạm tội phải chịu trách nhiệm hình sự về tổng số lượng chất ma túy của các lần cộng lại, nếu điều luật có quy định về số lượng chất ma túy để định khung hình phạt.</w:t>
      </w:r>
    </w:p>
    <w:p w14:paraId="6CF2615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Người nào tổ chức sử dụng trái phép chất ma túy; chứa chấp việc sử dụng trái phép chất ma túy; cưỡng bức, lôi kéo người khác sử dụng trái phép chất ma túy đối với một người từ hai lần trở lên cũng bị coi là phạm tội nhiều lần.</w:t>
      </w:r>
    </w:p>
    <w:p w14:paraId="298DB135"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2.4. Tình tiết “phạm tội đối với nhiều người” quy định tại khoản 2 các điều 197,198 và 200 của BLHS được hiểu là trong một lần phạm tội, người phạm tội đã thực hiện tội phạm đối với từ hai người trở lên (ví dụ: Trong một lần phạm tội tổ chức cho từ hai người trở lên sử dụng trái phép chất ma túy; trong một lần phạm tội chứa chấp từ hai người trở lên sử dụng trái phép chất ma túy; trong một lần phạm tội cưỡng bức, lôi kéo từ hai người trở lên sử dụng trái phép chất ma túy).</w:t>
      </w:r>
    </w:p>
    <w:p w14:paraId="3BD40D4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2.5. Tình tiết “có từ hai chất ma túy trở lên mà tổng số lượng của các chất đó tương đương với số lượng của chất ma túy quy định tại một trong các điểm từ…” quy định tại điểm i khoản 2, điểm e khoản 3, điểm đ khoản 4 Điều 193 hoặc điểm o khoản 2, điểm h khoản 3, điểm h khoản 4 Điều 194 của BLHS được xác định như sau:</w:t>
      </w:r>
    </w:p>
    <w:p w14:paraId="510F350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Trường hợp các chất ma túy đó đều có trọng lượng dưới mức tối thiểu quy định tại khoản 2 (tức thuộc khoản 1) Điều 193 hoặc khoản 2 Điều 194 của BLHS, thì tổng trọng lượng của các chất ma túy đó được xác định theo các bước sau đây:</w:t>
      </w:r>
    </w:p>
    <w:p w14:paraId="4F719F7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Bước 1: Xác định tỷ lệ phần trăm về trọng lượng của từng chất ma túy so với mức tối thiểu đối với từng chất ma túy đó tại điểm tương ứng quy định tại khoản 2 Điều 193 hoặc khoản 2 Điều 194 của BLHS.</w:t>
      </w:r>
    </w:p>
    <w:p w14:paraId="54FF56D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Bước 2: Cộng tỷ lệ phần trăm về trọng lượng của từng chất ma túy lại với nhau.</w:t>
      </w:r>
    </w:p>
    <w:p w14:paraId="62B47D2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Bước 3: Xác định điểm, khoản, điều luật. Nếu tổng các tỷ lệ phần trăm về trọng lượng của các chất ma túy dưới 100%, thì người phạm tội chỉ bị truy cứu trách nhiệm hình sự theo khoản 1 Điều 193 hoặc khoản 1 Điều 194 của BLHS, nếu tổng tỷ lệ phần trăm về trọng lượng của các chất ma túy từ 100% trở lên, thì người phạm tội bị truy cứu trách nhiệm hình sự theo tình tiết định khung: “Có từ hai chất ma túy trở lên mà tổng số lượng của các chất đó tương ứng với số lượng chất ma túy quy định tại một trong các điểm từ…” quy định tại điểm i khoản 2 Điều 193 hoặc điểm o khoản 2 Điều 194 của BLHS.</w:t>
      </w:r>
    </w:p>
    <w:p w14:paraId="413240B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1: Một người sản xuất hai trăm gam nhựa thuốc phiện và hai gam hêrôin (đều thuộc khoản 1 Điều 193 của BLHS). Tổng trọng lượng của các chất ma túy được xác định như sau:</w:t>
      </w:r>
    </w:p>
    <w:p w14:paraId="3FE8CC5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 Tỷ lệ phần trăm về trọng lượng của nhựa thuốc phiện so với mức tối thiểu đối với nhựa thuốc phiện quy định tại điểm đ khoản 2 Điều 193 của BLHS là 40% (hai trăm gam so với năm trăm gam).</w:t>
      </w:r>
    </w:p>
    <w:p w14:paraId="60F44A7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hêrôin so với mức tối thiểu đối với hêrôin quy định tại điểm e khoản 2 Điều 193 của BLHS là 40% (hai gam so với năm gam).</w:t>
      </w:r>
    </w:p>
    <w:p w14:paraId="16D8E8A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Tổng tỷ lệ phần trăm về trọng lượng của cả hai chất nhựa thuốc phiện và hêrôin là 40% + 40% = 80% (dưới 100%), cho nên người phạm tội chỉ bị truy cứu trách nhiệm hình sự theo khoản 1 Điều 193 của BLHS.</w:t>
      </w:r>
    </w:p>
    <w:p w14:paraId="1A6153F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2: Một người mua bán bốn trăm gam nhựa thuốc phiện và ba gam hêrôin (đều thuộc khoản 1 Điều 194 của BLHS). Tổng trọng lượng của các chất ma túy được xác định như sau:</w:t>
      </w:r>
    </w:p>
    <w:p w14:paraId="22DDE3C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nhựa thuốc phiện so với mức tối thiểu đối với nhựa thuốc phiện quy định tại điểm g khoản 2 Điều 194 của BLHS là 80% (bốn trăm gam so với năm trăm gam).</w:t>
      </w:r>
    </w:p>
    <w:p w14:paraId="3578D92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hêrôin so với mức tối thiểu đối với hêrôin quy định tại điểm h khoản 2 Điều 194 của BLHS là 60% (ba gam so với năm gam).</w:t>
      </w:r>
    </w:p>
    <w:p w14:paraId="782EC6E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Tổng tỷ lệ phần trăm về trọng lượng của cả hai chất nhựa thuốc phiện và hêrôin là 80% + 60% = 140% (thuộc trường hợp từ 100% trở lên), cho nên người phạm tội bị truy cứu trách nhiệm hình sự theo điểm o khoản 2 Điều 194 của BLHS.</w:t>
      </w:r>
    </w:p>
    <w:p w14:paraId="3590F4F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Trường hợp các chất ma túy đó đều được quy định trong cùng một điểm của khoản 2, khoản 3, khoản 4 Điều 193 hoặc trong cùng một điểm của khoản 2, khoản 3, khoản 4 Điều 194 của BLHS thì cộng trọng lượng của các chất ma túy đó lại với nhau và so sánh với quy định về trọng lượng trong điều luật tương ứng để truy cứu trách nhiệm hình sự người phạm tội theo khoản nào phù hợp của điều luật đó.</w:t>
      </w:r>
    </w:p>
    <w:p w14:paraId="151377F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một người sản xuất 300 gam nhựa thuốc phiện và 300 gam nhựa cần sa. Do nhựa thuốc phiện và nhựa cần sa được quy định trong cùng điểm đ khoản 2, điểm b khoản 3, điểm a khoản 4 Điều 193 của BLHS, cho nên chỉ cần cộng trọng lượng nhựa thuốc phiện và nhựa cần sa là 300g + 300g = 600g. Đối chiếu với quy định về trọng lượng trong Điều 193 của BLHS, thì người phạm tội bị truy cứu trách nhiệm hình sự theo điểm đ khoản 2 Điều 193 của BLHS.</w:t>
      </w:r>
    </w:p>
    <w:p w14:paraId="26ECE67D"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c) Trường hợp các chất ma túy đó có trọng lượng tại các điểm khác nhau của cùng khoản 2 (khoản 3) Điều 193 hoặc khoản 2 (khoản 3) Điều 194 của BLHS, thì tổng trọng lượng của các chất ma túy đó được xác định theo các bước sau đây:</w:t>
      </w:r>
    </w:p>
    <w:p w14:paraId="69531B01"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Bước 1: Xác định tỷ lệ phần trăm về trọng lượng của từng chất ma túy so với mức tối thiểu đối với từng chất ma túy đó tại điểm tương ứng quy định tại khoản 3 (khoản 4) Điều 193 hoặc khoản 3 (khoản 4) Điều 194 của BLHS.</w:t>
      </w:r>
    </w:p>
    <w:p w14:paraId="343FEE2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Bước 2: Cộng tỷ lệ phần trăm về trọng lượng của từng chất ma túy lại với nhau.</w:t>
      </w:r>
    </w:p>
    <w:p w14:paraId="139FFA2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Bước 3: Xác định điểm, khoản, điều luật. Nếu tổng các tỷ lệ phần trăm về trọng lượng của các chất ma túy dưới 100%, thì người phạm tội chỉ bị truy cứu trách nhiệm hình sự theo khoản 2 (khoản 3) Điều 193 hoặc khoản 2 (khoản 3) Điều 194 của BLHS; nếu tổng tỷ lệ phần trăm về trọng lượng của các chất ma túy từ 100% trở lên, thì người phạm tội bị truy cứu trách nhiệm hình sự theo tình tiết định khung: “Có từ hai chất ma túy trở lên mà tổng số lượng của các chất đó tương ứng với số lượng chất ma túy quy định tại một trong các điểm từ…” quy định tại điểm e khoản 3 (điểm đ khoản 4) Điều 193 hoặc điểm h khoản 3 (điểm h khoản 4) Điều 194 của BLHS.</w:t>
      </w:r>
    </w:p>
    <w:p w14:paraId="7B4C758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1: Một người sản xuất sáu trăm gam nhựa thuốc phiện và chín gam hêrôin (đều thuộc khoản 2 Điều 193 của BLHS). Tổng trọng lượng của các chất ma túy được xác định như sau:</w:t>
      </w:r>
    </w:p>
    <w:p w14:paraId="3F464B5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nhựa thuốc phiện so với mức tối thiểu đối với nhựa thuốc phiện quy định tại điểm b khoản 3 Điều 193 của BLHS là 60% (sáu trăm gam so với một kilôgam).</w:t>
      </w:r>
    </w:p>
    <w:p w14:paraId="06C5D7A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hêrôin so với mức tối thiểu đối với hêrôin quy định tại điểm c khoản 3 Điều 193 của BLHS là 30% (chín gam so với ba mươi gam).</w:t>
      </w:r>
    </w:p>
    <w:p w14:paraId="6EEDC86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Tổng tỷ lệ phần trăm về trọng lượng của cả hai chất nhựa thuốc phiện và hêrôin là 60% + 30% = 90% (dưới 100%), cho nên người phạm tội chỉ bị truy cứu trách nhiệm hình sự theo điểm i khoản 2 Điều 193 của BLHS.</w:t>
      </w:r>
    </w:p>
    <w:p w14:paraId="332CEE0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2: Một người mua bán bốn kilôgam nhựa thuốc phiện và ba mươi gam côcain (đều thuộc khoản 3 Điều 194 của BLHS). Tổng trọng lượng của các chất ma túy được xác định như sau:</w:t>
      </w:r>
    </w:p>
    <w:p w14:paraId="5DB3823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nhựa thuốc phiện so với mức tối thiểu đối với nhựa thuốc phiện quy định tại điểm a khoản 4 Điều 194 của BLHS là 80% (bốn kilôgam so với năm kilôgam).</w:t>
      </w:r>
    </w:p>
    <w:p w14:paraId="4A9665D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 Tỷ lệ phần trăm về trọng lượng của côcain so với mức tối thiểu đối với côcain quy định tại điểm b khoản 4 Điều 194 của BLHS là 30% (ba mươi gam so với một trăm gam).</w:t>
      </w:r>
    </w:p>
    <w:p w14:paraId="06CEEE3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Tổng tỷ lệ phần trăm về trọng lượng của cả hai chất nhựa thuốc phiện và côcain là 80% + 30% = 110% (thuộc trường hợp từ 100% trở lên), cho nên người phạm tội bị truy cứu trách nhiệm hình sự theo điểm h khoản 4 Điều 194 của BLHS.</w:t>
      </w:r>
    </w:p>
    <w:p w14:paraId="4B954B0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d) Trường hợp trong các chất ma túy đó, có chất ma túy có trọng lượng quy định tại khoản 1, có chất ma túy có trọng lượng quy định tại khoản 2 (hoặc khoản 3), hoặc có chất ma túy có trọng lượng quy định tại khoản 2, có chất ma túy có trọng lượng quy định tại khoản 3 Điều 193 hoặc Điều 194 của BLHS, thì tổng trọng lượng của các chất ma túy đó được xác định theo các bước sau đây:</w:t>
      </w:r>
    </w:p>
    <w:p w14:paraId="396D5631"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Bước 1: Xác định tỷ lệ phần trăm về trọng lượng của chất ma túy có trọng lượng nhiều nhất so với mức tối thiểu đối với chất ma túy đó quy định tại khoản 3 (khoản 4) Điều 193 hoặc khoản 3 (khoản 4) Điều 194 của BLHS theo nguyên tắc chất ma túy có trọng lượng nhiều nhất thuộc khoản 2 thì so với mức tối thiểu đối với chất ma túy đó quy định tại khoản 3; chất ma túy có trọng lượng nhiều nhất thuộc khoản 3 thì so với mức tối thiểu đối với chất ma túy đó quy định tại khoản 4.</w:t>
      </w:r>
    </w:p>
    <w:p w14:paraId="3290642D"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Bước 2: Xác định tỷ lệ phần trăm về trọng lượng của chất ma túy khác so với mức tối thiểu đối với chất ma túy đó quy định tại khoản 3 (khoản 4) Điều 193 hoặc khoản 3 (khoản 4) Điều 194 của BLHS theo nguyên tắc mức tối thiểu đối với chất ma túy có trọng lượng nhiều nhất ở khoản nào thì mức tối thiểu của các chất ma túy khác lấy ở khoản đó.</w:t>
      </w:r>
    </w:p>
    <w:p w14:paraId="685FEC0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Bước 3: Cộng các tỷ lệ phần trăm về trọng lượng của từng chất ma túy lại với nhau và xác định điểm, khoản, điều luật. Nếu tổng tỷ lệ phần trăm về trọng lượng của các chất ma túy là từ 100% trở lên thì người phạm tội bị truy cứu trách nhiệm hình sự theo tình tiết định khung: “Có từ 2 chất ma túy trở lên mà tổng số lượng của các chất đó tương đương với số lượng của chất ma túy quy định tại một trong các điểm từ…” quy định tại điểm e khoản 3 (điểm đ khoản 4) Điều 193; tại điểm h khoản 3 (điểm h khoản 4) Điều 194 của BLHS (khoản tương ứng của điều luật có quy định mức tối thiểu đối với chất ma túy có trọng lượng nhiều nhất).</w:t>
      </w:r>
    </w:p>
    <w:p w14:paraId="42EEFF5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1: Một người sản xuất bốn trăm gam nhựa thuốc phiện và hai mươi bốn gam hêrôin. Trong trường hợp này hêrôin có trọng lượng thuộc điểm e khoản 2 Điều 193 của BLHS, còn nhựa thuốc phiện có trọng lượng thuộc khoản 1 Điều 193 của BLHS; do đó, hêrôin có trọng lượng nhiều nhất. Tổng trọng lượng của các chất ma túy được xác định như sau:</w:t>
      </w:r>
    </w:p>
    <w:p w14:paraId="65C79AC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 Tỷ lệ phần trăm về trọng lượng của hêrôin so với mức tối thiểu đối với hêrôin quy định tại điểm e khoản 3 Điều 193 của BLHS là 80% (hai mươi bốn gam so với ba mươi gam).</w:t>
      </w:r>
    </w:p>
    <w:p w14:paraId="3589B82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nhựa thuốc phiện so với mức tối thiểu đối với nhựa thuốc phiện quy định tại điểm b khoản 3 Điều 193 của BLHS là 40% (bốn trăm gam so với một kilôgam).</w:t>
      </w:r>
    </w:p>
    <w:p w14:paraId="7F69C325"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Tổng tỷ lệ phần trăm về trọng lượng của cả hai chất nhựa thuốc phiện và hêrôin là 80% + 40% = 120% (thuộc trường hợp từ 100% trở lên), cho nên người phạm tội bị truy cứu trách nhiệm hình sự theo điểm e khoản 3 Điều 193 của BLHS.</w:t>
      </w:r>
    </w:p>
    <w:p w14:paraId="177057A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2: Một người mua bán bốn phẩy năm kilôgam nhựa thuốc phiện và bốn gam hêrôin. Trong trường hợp này nhựa thuốc phiện có trọng lượng thuộc điểm a khoản 3 Điều 194 của BLHS, còn hêrôin có trọng lượng thuộc khoản 1 Điều 194 của BLHS; do đó, nhựa thuốc phiện có trọng lượng nhiều nhất. Tổng trọng lượng của các chất ma túy được xác định như sau:</w:t>
      </w:r>
    </w:p>
    <w:p w14:paraId="4BDE98A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nhựa thuốc phiện so với mức tối thiểu đối với nhựa thuốc phiện quy định tại điểm a khoản 4 Điều 194 của BLHS là 90% (bốn phẩy năm kilôgam so với năm kilôgam).</w:t>
      </w:r>
    </w:p>
    <w:p w14:paraId="3592038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hêrôin so với mức tối thiểu đối với hêrôin quy định tại điểm b khoản 4 Điều 194 của BLHS là 4% (bốn gam so với một trăm gam).</w:t>
      </w:r>
    </w:p>
    <w:p w14:paraId="3D9D030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Tổng tỷ lệ phần trăm về trọng lượng của cả hai chất nhựa thuốc phiện và hêrôin là 90% + 4% = 94% (dưới 100%), cho nên người phạm tội vẫn chỉ bị truy cứu trách nhiệm hình sự theo khoản 3 Điều 194 của BLHS.</w:t>
      </w:r>
    </w:p>
    <w:p w14:paraId="4B898F2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3: Một người sản xuất bốn kilôgam nhựa thuốc phiện và hai mươi gam hêrôin. Trong trường hợp này nhựa thuốc phiện có trọng lượng thuộc điểm b khoản 3 Điều 193 của BLHS, còn hêrôin có trọng lượng thuộc điểm e khoản 2 Điều 193 của BLHS; do đó, nhựa thuốc phiện có trọng lượng nhiều nhất. Tổng trọng lượng của các chất ma túy được xác định như sau:</w:t>
      </w:r>
    </w:p>
    <w:p w14:paraId="7746088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Tỷ lệ phần trăm về trọng lượng của nhựa thuốc phiện so với mức tối thiểu đối với nhựa thuốc phiện quy định tại điểm a khoản 4 Điều 193 của BLHS là 80% (bốn kilôgam so với năm kilôgam).</w:t>
      </w:r>
    </w:p>
    <w:p w14:paraId="54C163A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 Tỷ lệ phần trăm về trọng lượng của hêrôin so với mức tối thiểu đối với hêrôin quy định tại điểm b khoản 4 Điều 193 của BLHS là 20% (hai mươi gam so với một trăm gam).</w:t>
      </w:r>
    </w:p>
    <w:p w14:paraId="1A18E46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Tổng tỷ lệ phần trăm về trọng lượng của cả hai chất nhựa thuốc phiện và hêrôin là 80% + 20% = 100% (thuộc trường hợp từ 100% trở lên), cho nên người phạm tội bị truy cứu trách nhiệm hình sự theo điểm đ khoản 4 Điều 193 của BLHS.</w:t>
      </w:r>
    </w:p>
    <w:p w14:paraId="47FED1A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 Truy cứu trách nhiệm hình sự trong trường hợp có nhiều hành vi phạm tội.</w:t>
      </w:r>
    </w:p>
    <w:p w14:paraId="15BDE12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3.1. Trường hợp một người thực hiện nhiều hành vi phạm tội quy định tại các điều luật khác nhau, từ Điều 192 đến Điều 194 của BLHS mà các hành vi đó có liên quan chặt chẽ với nhau (hành vi phạm tội này là điều kiện để thực hiện hoặc là hệ quả tất yếu của hành vi phạm tội kia) nếu các tội phạm đó không bằng nhau thì người phạm tội bị truy cứu trách nhiệm hình sự về hành vi phạm tội theo điều luật có quy định tội nặng hơn.</w:t>
      </w:r>
    </w:p>
    <w:p w14:paraId="3072E40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một người trồng cây thuốc phiện (đã được giáo dục nhiều lần, đã được tạo điều kiện để ổn định cuộc sống và đã bị xử phạt hành chính về hành vi này), sau đó lại tiến hành sản xuất trái phép chất ma túy. Trong trường hợp này người phạm tội bị truy cứu trách nhiệm hình sự về tội sản xuất trái phép chất ma túy theo Điều 193 của BLHS (tội sản xuất trái phép chất ma túy nặng hơn tội trồng cây thuốc phiện hoặc các loại cây khác có chứa chất ma túy).</w:t>
      </w:r>
    </w:p>
    <w:p w14:paraId="42A2414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3.2. Trường hợp một người thực hiện nhiều hành vi phạm tội quy định tại các điều luật khác nhau, từ Điều 192 đến Điều 194 của BLHS mà các hành vi đó có liên quan chặt chẽ với nhau (hành vi phạm tội này là điều kiện để thực hiện hoặc là hệ quả tất yếu của hành vi phạm tội kia) nếu các tội phạm đó bằng nhau thì người phạm tội bị truy cứu trách nhiệm hình sự về hành vi phạm tội được thực hiện đầu tiên theo tội danh tương ứng.</w:t>
      </w:r>
    </w:p>
    <w:p w14:paraId="65AFE44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Đối với người thực hiện hành vi tàng trữ, vận chuyển, mua bán trái phép hoặc chiếm đoạt chất ma túy để sản xuất trái phép chất ma túy thì bị truy cứu trách nhiệm hình sự về tội sản xuất trái phép chất ma túy quy định tại Điều 193 BLHS.</w:t>
      </w:r>
    </w:p>
    <w:p w14:paraId="27D4CE8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3.3. Trường hợp một người thực hiện nhiều hành vi phạm tội quy định tại các điều từ Điều 192 đến Điều 194 của BLHS mà các hành vi đó độc lập với nhau, thì bị truy cứu trách nhiệm hình sự về những tội độc lập theo điều luật tương ứng.</w:t>
      </w:r>
    </w:p>
    <w:p w14:paraId="2A0327D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xml:space="preserve">Ví dụ một người mua bán trái phép hêrôin bị bắt, khi khám nhà phát hiện người đó còn có hành vi sản xuất thuốc phiện. Trong trường hợp này người phạm tội bị truy cứu </w:t>
      </w:r>
      <w:r>
        <w:rPr>
          <w:rFonts w:ascii="Arial" w:hAnsi="Arial" w:cs="Arial"/>
        </w:rPr>
        <w:lastRenderedPageBreak/>
        <w:t>trách nhiệm hình sự về tội mua bán trái phép chất ma túy theo Điều 194 của BLHS và tội sản xuất trái phép chất ma túy theo Điều 193 của BLHS.</w:t>
      </w:r>
    </w:p>
    <w:p w14:paraId="561C626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3.4. Việc xác định các tội bằng nhau, nặng hơn hoặc nhẹ hơn được thực hiện theo hướng dẫn tại tiểu mục 2.2, mục 2, phần II Nghị quyết số 04/2004/NQ-HĐTP ngày 05/11/2004 của Hội đồng Thẩm phán Tòa án nhân dân tối cao hướng dẫn thi hành một số quy định trong Phần thứ ba “Xét xử sơ thẩm” của Bộ luật tố tụng hình sự năm 2003.</w:t>
      </w:r>
    </w:p>
    <w:p w14:paraId="19F820ED"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3.5. Trường hợp một người thực hiện một hoặc nhiều hành vi phạm tội quy định trong một điều luật (Điều 194, Điều 195 và Điều 196 của BLHS) thì cần phân biệt như sau:</w:t>
      </w:r>
    </w:p>
    <w:p w14:paraId="5F13E23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Trường hợp một người chỉ thực hiện một trong các hành vi phạm tội theo quy định tại Điều 194 (hoặc Điều 195 hoặc Điều 196) của BLHS thì bị truy cứu trách nhiệm hình sự với tên tội danh về hành vi phạm tội đã thực hiện theo điều luật tương ứng.</w:t>
      </w:r>
    </w:p>
    <w:p w14:paraId="18DA21B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một người chỉ mua bán tiền chất dùng vào việc sản xuất trái phép chất ma túy, thì bị truy cứu trách nhiệm hình sự về tội mua bán tiền chất dùng vào việc sản xuất trái phép chất ma túy theo Điều 195 của BLHS.</w:t>
      </w:r>
    </w:p>
    <w:p w14:paraId="034C12C5"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Trường hợp một người thực hiện nhiều hành vi phạm tội theo quy định tại Điều 194 (hoặc Điều 195 hoặc Điều 196) của BLHS mà các hành vi đó có liên quan chặt chẽ với nhau (hành vi phạm tội này là điều kiện để thực hiện hoặc là hệ quả tất yếu của hành vi phạm tội kia), thì bị truy cứu trách nhiệm hình sự với tội danh đầy đủ đối với tất cả các hành vi đã được thực hiện theo điều luật tương ứng và chỉ phải chịu một hình phạt.</w:t>
      </w:r>
    </w:p>
    <w:p w14:paraId="1878C64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Ví dụ: một người mua bán tiền chất dùng vào việc sản xuất trái phép chất ma túy rồi vận chuyển đến một địa điểm mới và tàng trữ tiền chất đó, thì bị truy cứu trách nhiệm hình sự với tên tội danh là mua bán, vận chuyển tàng trữ tiền chất dùng vào việc sản xuất trái phép chất ma túy theo Điều 195 của BLHS và chỉ phải chịu một hình phạt.</w:t>
      </w:r>
    </w:p>
    <w:p w14:paraId="6C5AE91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c) Trường hợp một người thực hiện nhiều hành vi phạm tội theo quy định tại Điều 194 (hoặc Điều 195 hoặc Điều 196) của BLHS mà các hành vi đó độc lập với nhau, thì bị truy cứu trách nhiệm hình sự về những tội độc lập mà người ấy đã thực hiện. Khi xét xử, Tòa án áp dụng Điều 50 của BLHS để quyết định hình phạt chung.</w:t>
      </w:r>
    </w:p>
    <w:p w14:paraId="76ADAFC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xml:space="preserve">Ví dụ: một người mua bán một loại tiền chất dùng vào việc sản xuất trái phép chất ma túy và bị bắt, khi khám nhà phát hiện người đó còn tàng trữ một loại tiền chất khác nhưng không nhằm mục đích để mua bán. Trong trường hợp này, người phạm tội bị truy cứu trách nhiệm hình sự về tội mua bán tiền chất dùng vào việc sản xuất trái phép </w:t>
      </w:r>
      <w:r>
        <w:rPr>
          <w:rFonts w:ascii="Arial" w:hAnsi="Arial" w:cs="Arial"/>
        </w:rPr>
        <w:lastRenderedPageBreak/>
        <w:t>chất ma túy và tội tàng trữ tiền chất dùng vào việc sản xuất trái phép chất ma túy theo quy định tại Điều 195 của BLHS. Tùy từng trường hợp cụ thể mà người đó bị xử phạt mức hình phạt tương ứng đối với từng tội và sau đó quyết định hình phạt chung cho cả hai tội theo quy định tại Điều 50 của BLHS.</w:t>
      </w:r>
    </w:p>
    <w:p w14:paraId="003E93E9" w14:textId="77777777" w:rsidR="00D9280B" w:rsidRDefault="00D9280B" w:rsidP="00D9280B">
      <w:pPr>
        <w:pStyle w:val="NormalWeb"/>
        <w:spacing w:after="90" w:afterAutospacing="0" w:line="345" w:lineRule="atLeast"/>
        <w:jc w:val="both"/>
        <w:rPr>
          <w:rFonts w:ascii="Arial" w:hAnsi="Arial" w:cs="Arial"/>
        </w:rPr>
      </w:pPr>
      <w:r>
        <w:rPr>
          <w:rStyle w:val="Strong"/>
          <w:rFonts w:ascii="Arial" w:hAnsi="Arial" w:cs="Arial"/>
          <w:sz w:val="21"/>
          <w:szCs w:val="21"/>
        </w:rPr>
        <w:t>II. VỀ CÁC TỘI PHẠM CỤ THỂ</w:t>
      </w:r>
    </w:p>
    <w:p w14:paraId="7BBD00E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 Tội trồng cây thuốc phiện hoặc các loại cây khác có chứa chất ma túy (Điều 192).</w:t>
      </w:r>
    </w:p>
    <w:p w14:paraId="1CD94F2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1.1. “Các loại cây khác có chứa chất ma túy” là các loại cây có chứa chất gây nghiện, chất hướng thần theo quy định của Chính phủ, trừ cây thuốc phiện, cây côca, cây cần sa.</w:t>
      </w:r>
    </w:p>
    <w:p w14:paraId="57BF59B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1.2. “Trồng cây thuốc phiện, cây côca, cây cần sa hoặc các loại cây khác có chứa chất ma túy” quy định tại Điều 192 của BLHS là hành vi gieo trồng, chăm bón hoặc thu hoạch các bộ phận của cây (như lá, hoa, quả, thân cây có chứa chất ma túy).</w:t>
      </w:r>
    </w:p>
    <w:p w14:paraId="62E1E905"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1.3. Người thực hiện hành vi trồng cây có chứa chất ma túy chỉ bị truy cứu trách nhiệm hình sự khi đã được áp dụng đầy đủ cả ba biện pháp: “Đã được giáo dục nhiều lần”, “đã được tạo điều kiện ổn định cuộc sống” và “đã bị xử phạt hành chính về hành vi này mà còn vi phạm”.</w:t>
      </w:r>
    </w:p>
    <w:p w14:paraId="0FB5445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“Đã được giáo dục nhiều lần” là đã được cơ quan nhà nước, tổ chức, người có trách nhiệm ở địa phương từ hai lần trở lên vận động, thuyết phục, nhắc nhở về việc không được trồng cây có chứa chất ma túy hoặc phổ biến đường lối, chính sách, quy định của pháp luật về cấm trồng cây có chứa chất ma túy. Các biện pháp giáo dục này phải được thể hiện bằng biên bản. Chỉ bị coi là “đã được giáo dục nhiều lần” nếu việc giáo dục được thực hiện trước khi bị xử phạt hành chính.</w:t>
      </w:r>
    </w:p>
    <w:p w14:paraId="380BFAE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“Đã được tạo điều kiện để ổn định cuộc sống” là đã được hỗ trợ về tiền vốn, kỹ thuật để sản xuất, hỗ trợ giống cây trồng, vật nuôi hoặc đã được hướng dẫn về kỹ thuật chăn nuôi, trồng trọt cây ăn quả, cây công nghiệp, cây lương thực… để thay thế các loại cây có chứa chất ma túy.</w:t>
      </w:r>
    </w:p>
    <w:p w14:paraId="3EA4367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c) “Đã bị xử phạt hành chính về hành vi này mà còn vi phạm” được hiểu là trước đó đã có hành vi trồng cây có chứa chất ma túy và đã bị xử phạt cảnh cáo hoặc phạt tiền theo quy định của pháp luật về xử phạt vi phạm hành chính, nhưng chưa hết thời hạn được coi là chưa bị xử phạt vi phạm hành chính, mà lại tiếp tục có hành vi trồng cây có chứa chất ma túy và bị phát hiện. (Theo quy định của Pháp lệnh xử lý vi phạm hành chính hiện hành thì có hai hình thức xử phạt vi phạm hành chính là cảnh cáo hoặc phạt tiền).</w:t>
      </w:r>
    </w:p>
    <w:p w14:paraId="3CCA844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1.4. Người nào biết người khác gieo trồng, chăm bón hoặc thu hoạch cây có chứa chất ma túy, đã được áp dụng đầy đủ cả ba biện pháp: “Giáo dục nhiều lần”, “tạo điều kiện ổn định cuộc sống” và “đã bị xử phạt hành chính về hành vi này” mà vẫn giúp họ thực hiện một trong các hành vi đó thì bị truy cứu trách nhiệm hình sự với vai trò đồng phạm về tội này.</w:t>
      </w:r>
    </w:p>
    <w:p w14:paraId="4041FDE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1.5. Trường hợp người trồng cây có chứa chất ma túy, đã được áp dụng đầy đủ cả ba biện pháp: “Giáo dục nhiều lần”, “tạo điều kiện ổn định cuộc sống” và “đã bị xử phạt hành chính” nhưng không chịu phá bỏ mà bán lại cho người khác thì vẫn bị truy cứu trách nhiệm hình sự về tội trồng cây thuốc phiện, cây côca, cây cần sa hoặc các loại cây khác có chứa chất ma túy theo quy định tại Điều 192 của BLHS. Người mua lại cây có chứa chất ma túy để tiếp tục chăm sóc thì bị truy cứu trách nhiệm hình sự về tội này nếu thỏa mãn các yếu tố cấu thành tội phạm.</w:t>
      </w:r>
    </w:p>
    <w:p w14:paraId="3EB6336D"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Người nào mua bán trái phép cây có chứa chất ma túy khi cây hoặc các bộ phận của cây có chứa chất ma túy là đối tượng (chất ma túy) quy định tại Điều 194 của BLHS thì bị truy cứu trách nhiệm hình sự về tội mua bán trái phép chất ma túy theo Điều 194 của BLHS.</w:t>
      </w:r>
    </w:p>
    <w:p w14:paraId="6EDFB26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 Tội sản xuất trái phép chất ma túy (Điều 193)</w:t>
      </w:r>
    </w:p>
    <w:p w14:paraId="16CB7F5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2.1. “Sản xuất trái phép chất ma túy” là làm ra chất ma túy (chế biến, điều chế…) bằng thủ công hoặc có áp dụng khoa học công nghệ từ cây có chứa chất ma túy, từ các tiền chất và các hóa chất hoặc làm ra chất ma túy này từ chất ma túy khác mà không được phép của cơ quan có thẩm quyền hoặc không đúng với nội dung đã được cơ quan có thẩm quyền cho phép.</w:t>
      </w:r>
    </w:p>
    <w:p w14:paraId="17E124B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Đối với các hành vi nhằm tạo thuận lợi cho việc sử dụng chất ma túy đã có sẵn như pha chế thuốc phiện thành dung dịch để tiêm chích, nghiền hêrôin từ bánh thành bột để hít… thì không coi là hành vi sản xuất trái phép chất ma túy.</w:t>
      </w:r>
    </w:p>
    <w:p w14:paraId="334A60D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2.2. Phạm tội có tính chất chuyên nghiệp quy định tại điểm a khoản 3 là trường hợp người phạm tội có đầy đủ các điều kiện sau đây:</w:t>
      </w:r>
    </w:p>
    <w:p w14:paraId="4771E23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Thực hiện hành vi sản xuất trái phép chất ma túy từ năm lần trở lên không phân biệt đã bị xét xử hay chưa bị xét xử, nếu chưa hết thời hiệu truy cứu trách nhiệm hình sự hoặc chưa được xóa án tích;</w:t>
      </w:r>
    </w:p>
    <w:p w14:paraId="76FFFDB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Người phạm tội lấy hành vi sản xuất trái phép chất ma túy làm nghề sinh sống và lấy kết quả của việc phạm tội sản xuất trái phép chất ma túy làm nguồn sống chính.</w:t>
      </w:r>
    </w:p>
    <w:p w14:paraId="55B650D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3. Tội tàng trữ, vận chuyển, mua bán trái phép hoặc chiếm đoạt chất ma túy (Điều 194)</w:t>
      </w:r>
    </w:p>
    <w:p w14:paraId="4E483AD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3.1. “Tàng trữ trái phép chất ma túy” là cất giữ, cất giấu bất hợp pháp chất ma túy ở bất cứ nơi nào (như trong nhà, ngoài vườn, chôn dưới đất, để trong vali, cho vào thùng xăng xe, cất dấu trong quần áo, tư trang mặc trên người hoặc theo người…) mà không nhằm mục đích mua bán, vận chuyển hay sản xuất trái phép chất ma túy. Thời gian tàng trữ dài hay ngắn không ảnh hưởng đến việc xác định tội này.</w:t>
      </w:r>
    </w:p>
    <w:p w14:paraId="440567A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3.2. “Vận chuyển trái phép chất ma túy” là hành vi chuyển dịch bất hợp pháp chất ma túy từ nơi này đến nơi khác dưới bất kỳ hình thức nào (có thể bằng các phương tiện khác nhau như ô tô, tàu bay, tàu thủy…; trên các tuyến đường khác nhau như đường bộ, đường sắt, đường hàng không, đường thủy, đường bưu điện…; có thể để trong người như cho vào túi áo, túi quần, nuốt vào trong bụng, để trong hành lý như vali, túi xách v.v…) mà không nhằm mục đích mua bán, tàng trữ hay sản xuất trái phép chất ma túy khác.</w:t>
      </w:r>
    </w:p>
    <w:p w14:paraId="1E66319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Người giữ hộ, hoặc vận chuyển trái phép chất ma túy cho người khác, mà biết rõ mục đích mua bán trái phép chất ma túy của người đó, thì bị truy cứu trách nhiệm hình sự về tội mua bán trái phép chất ma túy với vai trò đồng phạm.</w:t>
      </w:r>
    </w:p>
    <w:p w14:paraId="5188F8A5"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3.3. “Mua bán trái phép chất ma túy” là một trong các hành vi sau đây:</w:t>
      </w:r>
    </w:p>
    <w:p w14:paraId="0EB7B1C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Bán trái phép chất ma túy cho người khác (không phụ thuộc vào nguồn gốc chất ma túy do đâu mà có) bao gồm cả việc bán hộ chất ma túy cho người khác để hưởng tiền công hoặc các lợi ích khác;</w:t>
      </w:r>
    </w:p>
    <w:p w14:paraId="382BDEF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Mua chất ma túy nhằm bán trái phép cho người khác;</w:t>
      </w:r>
    </w:p>
    <w:p w14:paraId="06162C2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c) Xin chất ma túy nhằm bán trái phép cho người khác;</w:t>
      </w:r>
    </w:p>
    <w:p w14:paraId="1BA8E6B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d) Dùng chất ma túy nhằm trao đổi thanh toán trái phép (không phụ thuộc vào nguồn gốc chất ma túy do đâu mà có);</w:t>
      </w:r>
    </w:p>
    <w:p w14:paraId="39A8528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đ) Dùng tài sản không phải là tiền đem trao đổi, thanh toán… lấy chất ma túy nhằm bán lại trái phép cho người khác;</w:t>
      </w:r>
    </w:p>
    <w:p w14:paraId="0971C5A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e) Tàng trữ chất ma túy nhằm bán trái phép cho người khác;</w:t>
      </w:r>
    </w:p>
    <w:p w14:paraId="6CB95B2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g) Vận chuyển chất ma túy nhằm bán trái phép cho người khác.</w:t>
      </w:r>
    </w:p>
    <w:p w14:paraId="1DEA06A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Người tổ chức, người xúi giục, người giúp sức cho người thực hiện một trong các hành vi mua bán trái phép chất ma túy được hướng dẫn từ điểm a đến điểm g tiểu mục 3.3 này đều bị truy cứu trách nhiệm hình sự về tội mua bán trái phép chất ma túy.</w:t>
      </w:r>
    </w:p>
    <w:p w14:paraId="360E5D0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3.4. “Chiếm đoạt chất ma túy” là một trong các hành vi trộm cắp, lừa đảo, tham ô, lạm dụng tín nhiệm, cưỡng đoạt, cướp, cướp giật, công nhiên chiếm đoạt chất ma túy của người khác. Trường hợp người có hành vi chiếm đoạt chất ma túy nhằm mục đích bán lại chất ma túy đó cho người khác, thì bị truy cứu trách nhiệm hình sự với tội danh đầy đủ đối v���i hành vi đã thực hiện theo Điều 194 BLHS và chỉ phải chịu một hình phạt.</w:t>
      </w:r>
    </w:p>
    <w:p w14:paraId="6013DB5D"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3.5. Chất gây nghiện, chất hướng thần là chất ma túy; còn thuốc gây nghiện, thuốc hướng thần là để chữa bệnh (chỉ chứa một hàm lượng nhất định chất ma túy) và được quản lý theo quy chế quản lý dược phẩm của Bộ Y tế. Người nào không thuộc đối tượng quy định tại Điều 201 BLHS mà vi phạm trong việc sản xuất, tàng trữ, vận chuyển, mua bán thuốc gây nghiện, thuốc hướng thần nhằm mục đích kinh doanh thuốc chữa bệnh hoặc để chữa bệnh thì bị xử lý hành chính hoặc thì bị truy cứu trách nhiệm hình sự về một tội phạm tương ứng khác không phải là tội phạm về ma túy (ví dụ: tội kinh doanh trái phép, tội buôn lậu…). Trường hợp sản xuất, tàng trữ, vận chuyển, mua bán thuốc gây nghiện, thuốc hướng thần trái phép nhằm thỏa mãn nhu cầu về sử dụng trái phép chất ma túy cho mình hoặc cho người khác thì bị xử lý về tội phạm ma túy tương ứng (nếu thỏa mãn điều kiện về trọng lượng chất ma túy theo quy định của pháp luật).</w:t>
      </w:r>
    </w:p>
    <w:p w14:paraId="74D3685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3.6. Người nào tàng trữ, vận chuyển trái phép hoặc chiếm đoạt chất ma túy với số lượng sau đây không nhằm mục đích mua bán hay sản xuất trái phép chất ma túy khác thì áp dụng khoản 4 Điều 8 BLHS, theo đó không truy cứu trách nhiệm hình sự nhưng phải bị xử lý hành chính:</w:t>
      </w:r>
    </w:p>
    <w:p w14:paraId="6D5768A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Nhựa thuốc phiện, nhựa cần sa hoặc cao côca có trọng lượng dưới một gam;</w:t>
      </w:r>
    </w:p>
    <w:p w14:paraId="4D561F8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Hêrôin hoặc côcain có trọng lượng dưới không phẩy một gam;</w:t>
      </w:r>
    </w:p>
    <w:p w14:paraId="7C04C161"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c) Lá, hoa, quả cây cần sa hoặc lá cây côca có trọng lượng dưới một kilôgam;</w:t>
      </w:r>
    </w:p>
    <w:p w14:paraId="5D7B94A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d) Quả thuốc phiện khô có trọng lượng dưới năm kilôgam;</w:t>
      </w:r>
    </w:p>
    <w:p w14:paraId="6903CD85"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đ) Quả thuốc phiện tươi có trọng lượng dưới một kilôgam;</w:t>
      </w:r>
    </w:p>
    <w:p w14:paraId="51F0604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e) Các chất ma túy khác ở thể rắn có trọng lượng dưới một gam;</w:t>
      </w:r>
    </w:p>
    <w:p w14:paraId="0DA9578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g) Các chất ma túy khác ở thể lỏng từ mười mililít trở xuống.</w:t>
      </w:r>
    </w:p>
    <w:p w14:paraId="348FE5E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3.7. Khi truy cứu trách nhiệm hình sự về tội tàng trữ, vận chuyển, mua bán trái phép hoặc chiếm đoạt chất ma túy cần phân biệt:</w:t>
      </w:r>
    </w:p>
    <w:p w14:paraId="0F73C58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Người nào đã bị kết án về tội tàng trữ, vận chuyển trái phép hoặc chiếm đoạt chất ma túy, chưa được xóa án tích mà lại tiếp tục tàng trữ, vận chuyển trái phép hoặc chiếm đoạt một trong các chất ma túy có số lượng được hướng dẫn từ điểm a đến điểm g tiểu mục 3.6 trên đây, nếu không thuộc trường hợp tái phạm nguy hiểm thì bị truy cứu trách nhiệm hình sự theo khoản 1 Điều 194 BLHS. Nếu là tái phạm nguy hiểm thì bị truy cứu trách nhiệm hình sự theo khoản 2 Điều 194 của BLHS.</w:t>
      </w:r>
    </w:p>
    <w:p w14:paraId="676DBA7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Người nào bán trái phép chất ma túy cho người khác và còn cho họ sử dụng địa điểm thuộc quyền sở hữu, chiếm hữu hoặc quản lý của mình để sử dụng trái phép chất ma túy thì ngoài việc bị truy cứu trách nhiệm hình sự về tội mua bán trái phép chất ma túy theo Điều 194 BLHS, người đó còn bị truy cứu trách nhiệm hình sự về tội chứa chấp việc sử dụng trái phép chất ma túy theo Điều 198 BLHS;</w:t>
      </w:r>
    </w:p>
    <w:p w14:paraId="77981D35"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c) Người nào biết người khác đi mua chất ma túy để sử dụng trái phép mà gửi tiền nhờ mua hộ chất ma túy để sử dụng thì người nhờ mua hộ phải chịu trách nhiệm hình sự về số lượng chất ma túy đã nhờ mua hộ. Người đi mua phải chịu trách nhiệm hình sự về tổng số lượng chất ma túy đã mua cho bản thân và mua hộ.</w:t>
      </w:r>
    </w:p>
    <w:p w14:paraId="21A56541"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d) Người nào biết người khác mua chất ma túy để sử dụng trái phép mà dùng phương tiện để chở họ cùng chất ma túy và bị bắt giữ nếu số lượng chất ma túy đến mức phải chịu trách nhiệm hình sự về tội tàng trữ hoặc vận chuyển trái phép chất ma túy thì người đó là đồng phạm với người mua về tội tàng trữ hoặc vận chuyển trái phép chất ma túy quy định tại Điều 194 BLHS.</w:t>
      </w:r>
    </w:p>
    <w:p w14:paraId="612A30C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đ) Người nào tàng trữ trái phép, vận chuyển trái phép một trong các chất ma túy có số lượng được hướng dẫn từ điểm a đến điểm g tiểu mục 3.6 mục 3 phần II Thông tư này mà không nhằm mục đích mua bán hay sản xuất trái phép chất ma túy khác, nhưng chứng minh được là nhằm mục đích sử dụng trái phép chất ma túy, tuy đã được giáo dục nhiều lần và đã bị xử lý hành chính bằng biện pháp đưa vào cơ sở chữa bệnh bắt buộc thì phải bị truy cứu trách nhiệm hình sự về tội sử dụng trái phép chất ma túy theo Điều 199 của BLHS.</w:t>
      </w:r>
    </w:p>
    <w:p w14:paraId="2A9E04A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4. Tội tàng trữ, vận chuyển, mua bán hoặc chiếm đoạt tiền chất dùng vào việc sản xuất trái phép chất ma túy (Điều 195).</w:t>
      </w:r>
    </w:p>
    <w:p w14:paraId="0B265E8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4.1. “Tàng trữ tiền chất dùng vào việc sản xuất trái phép chất ma túy” là cất giữ, cất giấu bất hợp pháp tiền chất ở bất cứ nơi nào (như trong nhà, ngoài vườn, chôn dưới đất, để trong vali, hoặc cho vào thùng xăng xe…) để dùng vào việc sản xuất trái phép chất ma túy.</w:t>
      </w:r>
    </w:p>
    <w:p w14:paraId="5A0445C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4.2. “Vận chuyển tiền chất dùng vào việc sản xuất trái phép chất ma túy” là hành vi chuyển dịch bất hợp pháp tiền chất từ nơi này đến nơi khác dưới bất kỳ hình thức nào (có thể bằng các phương tiện khác nhau như ô tô, tàu bay, tàu thủy…; trên các tuyến đường khác nhau như đường bộ, đường sắt, đường hàng không, đường thủy, đường bưu điện…; có thể để trong người như cho vào túi áo, quần, nuốt vào bụng…; có thể để trong hành lý như vali, túi xách…) để dùng vào việc sản xuất trái phép chất ma túy.</w:t>
      </w:r>
    </w:p>
    <w:p w14:paraId="70F648C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4.3. “Mua bán tiền chất dùng vào việc sản xuất trái phép chất ma túy” là một trong các hành vi sau đây:</w:t>
      </w:r>
    </w:p>
    <w:p w14:paraId="3353A1F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Bán tiền chất cho người khác để người đó sản xuất trái phép chất ma túy;</w:t>
      </w:r>
    </w:p>
    <w:p w14:paraId="2A792AE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Mua tiền chất nhằm bán cho người khác để người đó sản xuất trái phép chất ma túy;</w:t>
      </w:r>
    </w:p>
    <w:p w14:paraId="057036F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c) Xin tiền chất nhằm bán trái phép cho người khác để người đó sản xuất trái phép chất ma túy;</w:t>
      </w:r>
    </w:p>
    <w:p w14:paraId="3CF9610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d) Dùng tiền chất để trao đổi, thanh toán trái phép cho người khác để người đó sản xuất trái phép chất ma túy;</w:t>
      </w:r>
    </w:p>
    <w:p w14:paraId="460CCF7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đ) Dùng tài sản (không phải là tiền) đem trao đổi, thanh toán lấy tiền chất nhằm bán lại cho người khác để người đó sản xuất trái phép chất ma túy;</w:t>
      </w:r>
    </w:p>
    <w:p w14:paraId="7480EF3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e) Tàng trữ tiền chất nhằm bán trái phép cho người khác để người đó sản xuất trái phép chất ma túy;</w:t>
      </w:r>
    </w:p>
    <w:p w14:paraId="1165CDAD"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g) Vận chuyển tiền chất nhằm bán trái phép cho người khác để người đó sản xuất trái phép chất ma túy.</w:t>
      </w:r>
    </w:p>
    <w:p w14:paraId="09901E6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4.4. “Chiếm đoạt tiền chất dùng vào việc sản xuất trái phép chất ma túy” là một trong các hành vi trộm cắp, lừa đảo, lạm dụng tín nhiệm, cưỡng đoạt, cướp, cướp giật, công nhiên chiếm đoạt… tiền chất của người khác để dùng vào việc sản xuất trái phép chất ma túy.</w:t>
      </w:r>
    </w:p>
    <w:p w14:paraId="78EBCE0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xml:space="preserve">4.5. Người tàng trữ, vận chuyển, mua bán hoặc chiếm đoạt tiền chất dùng vào việc sản xuất trái phép chất ma túy chỉ bị truy cứu trách nhiệm hình sự theo quy định tại </w:t>
      </w:r>
      <w:r>
        <w:rPr>
          <w:rFonts w:ascii="Arial" w:hAnsi="Arial" w:cs="Arial"/>
        </w:rPr>
        <w:lastRenderedPageBreak/>
        <w:t>Điều 195 của BLHS khi các hành vi đó được thực hiện nhằm mục đích để sản xuất trái phép chất ma túy hoặc nhằm bán lại cho người khác để họ sản xuất trái phép chất ma túy. Trường hợp không chứng minh được mục đích nhằm sản xuất trái phép chất ma túy hoặc mục đích nhằm bán lại cho người khác để họ sản xuất trái phép chất ma túy thì không phải chịu trách nhiệm hình sự theo quy định tại Điều 195 của BLHS mà tùy từng trường hợp cụ thể có thể bị truy cứu trách nhiệm hình sự về tội phạm khác theo quy định của BLHS.</w:t>
      </w:r>
    </w:p>
    <w:p w14:paraId="094BD69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Trong trường hợp tiền chất có trọng lượng dưới 50 gam (đối với tiền chất ở thể rắn) hoặc dưới 75 mililít (đối với tiền chất ở thể lỏng) thì áp dụng khoản 4 Điều 8 BLHS để không truy cứu trách nhiệm hình sự nhưng phải bị xử lý hành chính.</w:t>
      </w:r>
    </w:p>
    <w:p w14:paraId="3D74E01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5. Tội sản xuất, tàng trữ, vận chuyển, mua bán các phương tiện, dụng cụ dùng vào việc sản xuất hoặc sử dụng trái phép chất ma túy (Điều 196).</w:t>
      </w:r>
    </w:p>
    <w:p w14:paraId="47C5756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5.1. “Sản xuất các phương tiện, dụng cụ dùng vào việc sản xuất hoặc sử dụng trái phép chất ma túy” là làm ra các phương tiện, dụng cụ được hướng dẫn tại tiểu mục 1.3 mục 1 phần I Thông tư này (có thể bằng phương pháp thủ công hoặc áp dụng khoa học kỹ thuật) để dùng vào việc sản xuất hoặc sử dụng trái phép chất ma túy.</w:t>
      </w:r>
    </w:p>
    <w:p w14:paraId="7D368A5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5.2. “Tàng trữ các phương tiện, dụng cụ dùng vào việc sản xuất hoặc sử dụng trái phép chất ma túy” là hành vi cất giữ các phương tiện, dụng cụ được hướng dẫn tại tiểu mục 1.3 mục 1 phần I Thông tư này ở bất kỳ địa điểm nào (như trong nhà, ngoài vườn, chôn dưới đất, để trong vali hoặc cho vào thùng xăng xe…) để dùng vào việc sản xuất hoặc sử dụng trái phép chất ma túy.</w:t>
      </w:r>
    </w:p>
    <w:p w14:paraId="30674C0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5.3. “Vận chuyển các phương tiện dụng cụ dùng vào việc sản xuất hoặc sử dụng trái phép chất ma túy” là hành vi dịch chuyển các phương tiện, dụng cụ được hướng dẫn tại tiểu mục 1.3 mục 1 phần I Thông tư này từ nơi này đến nơi khác dưới bất kỳ hình thức nào (có thể bằng các phương tiện khác nhau như ô tô, tàu bay, tàu thủy…; trên các tuyến đường khác nhau như đường bộ, đường sắt, đường hàng không, đường thủy, đường bưu điện…; có thể để trong người như cho vào túi áo, quần…; có thể để trong hành lý như vali, túi xách…) để dùng vào việc sản xuất trái phép chất ma túy hoặc sử dụng trái phép chất ma túy.</w:t>
      </w:r>
    </w:p>
    <w:p w14:paraId="05DDA48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5.4. “Mua bán các phương tiện, dụng cụ dùng vào việc sản xuất hoặc sử dụng trái phép chất ma túy” là một trong các hành vi sau đây:</w:t>
      </w:r>
    </w:p>
    <w:p w14:paraId="22FCC68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Bán các phương tiện, dụng cụ được hướng dẫn tại tiểu mục 1.3 mục 1 phần I Thông tư này cho người khác để người đó dùng vào việc sản xuất trái phép chất ma túy hoặc sử dụng trái phép chất ma túy;</w:t>
      </w:r>
    </w:p>
    <w:p w14:paraId="5658DE7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b) Mua các phương tiện, dụng cụ được hướng dẫn tại tiểu mục 1.3 mục 1 phần I Thông tư này nhằm bán cho người khác để người đó dùng vào việc sản xuất trái phép chất ma túy hoặc sử dụng trái phép chất ma túy;</w:t>
      </w:r>
    </w:p>
    <w:p w14:paraId="2A5B68A1"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c) Xin các phương tiện, dụng cụ được hướng dẫn tại tiểu mục 1.3 mục 1 phần I Thông tư này nhằm bán trái phép cho người khác để người đó dùng vào việc sản xuất trái phép chất ma túy hoặc sử dụng trái phép chất ma túy;</w:t>
      </w:r>
    </w:p>
    <w:p w14:paraId="0FC9A37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d) Dùng các phương tiện, dụng cụ được hướng dẫn tại tiểu mục 1.3 mục 1 phần I Thông tư này để trao đổi, thanh toán trái phép cho người khác để người đó dùng vào việc sản xuất trái phép chất ma túy hoặc sử dụng trái phép chất ma túy;</w:t>
      </w:r>
    </w:p>
    <w:p w14:paraId="4590977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đ) Dùng tài sản (không phải là tiền) đem trao đổi, thanh toán lấy các phương tiện, dụng cụ được hướng dẫn tại tiểu mục 1.3 mục 1 phần I Thông tư này nhằm bán lại trái phép cho người khác để người đó dùng vào việc sản xuất trái phép chất ma túy hoặc sử dụng trái phép chất ma túy;</w:t>
      </w:r>
    </w:p>
    <w:p w14:paraId="570FB9D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e) Tàng trữ các phương tiện, dụng cụ được hướng dẫn tại tiểu mục 1.3 mục 1 phần I Thông tư này nhằm bán trái phép cho người khác để người đó dùng vào việc sản xuất trái phép chất ma túy hoặc sử dụng trái phép chất ma túy;</w:t>
      </w:r>
    </w:p>
    <w:p w14:paraId="115A93B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g) Vận chuyển các phương tiện, dụng cụ được hướng dẫn tại tiểu mục 1.3 mục 1 phần I Thông tư này nhằm bán trái phép cho người khác để người đó dùng vào việc sản xuất trái phép chất ma túy hoặc sử dụng trái phép chất ma túy.</w:t>
      </w:r>
    </w:p>
    <w:p w14:paraId="5AE1254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5.5. Khi truy cứu trách nhiệm hình sự đối với người có hành vi sản xuất, tàng trữ, vận chuyển hoặc mua bán các phương tiện, dụng cụ dùng vào việc sản xuất hoặc sử dụng trái phép chất ma túy cần phân biệt:</w:t>
      </w:r>
    </w:p>
    <w:p w14:paraId="0A5EDF52"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Chỉ bị truy cứu trách nhiệm hình sự trong trường hợp việc sản xuất, tàng trữ, vận chuyển hoặc mua bán các phương tiện, dụng cụ là nhằm để dùng vào việc sản xuất hoặc sử dụng trái phép chất ma túy;</w:t>
      </w:r>
    </w:p>
    <w:p w14:paraId="74AA02C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Người lần đầu sản xuất, tàng trữ, vận chuyển hoặc mua bán các phương tiện, dụng cụ dùng vào việc sử dụng trái phép chất ma túy và chỉ dùng các phương tiện, dụng cụ này để cho bản thân họ sử dụng trái phép chất ma túy, thì chưa đến mức bị truy cứu trách nhiệm hình sự nhưng phải bị xử lý hành chính. Trường hợp đã bị xử lý hành chính theo quy định của pháp luật về xử lý vi phạm hành chính mà còn vi phạm thì phải bị truy cứu trách nhiệm hình sự;</w:t>
      </w:r>
    </w:p>
    <w:p w14:paraId="393ABDF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c) Đối với trường hợp sản xuất, tàng trữ, vận chuyển hoặc mua bán từ năm bộ dụng cụ, phương tiện (có thể cùng loại, có thể khác loại) trở xuống thì áp dụng khoản 4 Điều 8 BLHS để không truy cứu trách nhiệm hình sự, nhưng phải bị xử lý hành chính.</w:t>
      </w:r>
    </w:p>
    <w:p w14:paraId="1D97068D"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d) “Vật phạm pháp có số lượng lớn” quy định tại khoản 2 Điều 196 của BLHS là trường hợp sản xuất, tàng trữ, vận chuyển hoặc mua bán từ hai mươi bộ phương tiện, dụng cụ (có thể cùng loại, có thể khác loại) trở lên.</w:t>
      </w:r>
    </w:p>
    <w:p w14:paraId="45E303D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6. Tội tổ chức sử dụng trái phép chất ma túy (Điều 197)</w:t>
      </w:r>
    </w:p>
    <w:p w14:paraId="31167CC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6.1. “Tổ chức sử dụng trái phép chất ma túy” là một trong các hành vi sau đây:</w:t>
      </w:r>
    </w:p>
    <w:p w14:paraId="46BD06C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Chỉ huy, phân công, điều hành các hoạt động đưa trái phép chất ma túy vào cơ thể người khác;</w:t>
      </w:r>
    </w:p>
    <w:p w14:paraId="5CB9D42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Chỉ huy, phân công, điều hành việc chuẩn bị, cung cấp chất ma túy, địa điểm, phương tiện, dụng cụ dùng vào việc sử dụng trái phép chất ma túy, tìm người sử dụng chất ma túy.</w:t>
      </w:r>
    </w:p>
    <w:p w14:paraId="600C265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Người nào thực hiện một trong các hành vi sau đây theo sự chỉ huy, phân công, điều hành của người khác thì bị coi là đồng phạm về tội tổ chức sử dụng trái phép chất ma túy: đưa trái phép chất ma túy vào cơ thể người khác; cung cấp trái phép chất ma túy cho người khác để họ sử dụng trái phép chất ma túy; chuẩn bị chất ma túy dưới bất kỳ hình thức nào (mua, xin, tàng trữ, sản xuất…) nhằm đưa trái phép chất ma túy vào cơ thể người khác; chuẩn bị địa điểm (thuê địa điểm, mượn địa điểm, sử dụng địa điểm không thuộc quyền chiếm hữu của mình hoặc đang do mình quản lý để làm nơi đưa trái phép chất ma túy vào cơ thể người khác); chuẩn bị dụng cụ, phương tiện dùng vào việc sử dụng trái phép chất ma túy dưới bất kỳ hình thức nào (mua, xin, tàng trữ…) nhằm sử dụng để đưa trái phép chất ma túy vào cơ thể người khác; tìm người sử dụng chất ma túy để đưa trái phép chất ma túy vào cơ thể của họ.</w:t>
      </w:r>
    </w:p>
    <w:p w14:paraId="4D28D451"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6.2. Khi truy cứu trách nhiệm hình sự đối với người tổ chức sử dụng trái phép chất ma túy cần phân biệt:</w:t>
      </w:r>
    </w:p>
    <w:p w14:paraId="3265FE0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Người nghiện ma túy có chất ma túy (không phân biệt nguồn gốc ma túy do đâu mà có) cho người nghiện ma túy khác chất ma túy để cùng sử dụng trái phép thì không bị truy cứu trách nhiệm hình sự về tội tổ chức sử dụng trái phép chất ma túy, mà tùy từng trường hợp có thể bị truy cứu trách nhiệm hình sự về tội tàng trữ trái phép chất ma túy hoặc tội sử dụng trái phép chất ma túy;</w:t>
      </w:r>
    </w:p>
    <w:p w14:paraId="0DCFC4F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b) Người nào thực hiện hành vi tổ chức sử dụng trái phép chất ma túy, mà còn thực hiện một hay nhiều hành vi phạm tội khác về ma túy quy định tại các điều luật tương ứng của BLHS, thì ngoài việc bị truy cứu trách nhiệm hình sự theo Điều 197 của BLHS, tùy từng trường hợp còn có thể bị truy cứu trách nhiệm hình sự về tội phạm khác đã thực hiện quy định tại điều luật tương ứng của BLHS.</w:t>
      </w:r>
    </w:p>
    <w:p w14:paraId="76C2F5F7"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6.3. Về một số tình tiết là yếu tố định khung quy định tại Điều 197 của BLHS.</w:t>
      </w:r>
    </w:p>
    <w:p w14:paraId="3062E93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“Đối với người đang cai nghiện” quy định tại điểm đ khoản 2 Điều 197 của BLHS là trường hợp phạm tội đối với người mà người đó đã được cơ quan có thẩm quyền kết luận họ nghiện ma túy và đang được cai nghiện tại trung tâm cai nghiện, tại gia đình hoặc tại cộng đồng dân cư.</w:t>
      </w:r>
    </w:p>
    <w:p w14:paraId="5D99866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“Gây bệnh nguy hiểm cho người khác” quy định tại điểm g khoản 2 Điều 197 của BLHS là trường hợp người tổ chức sử dụng trái phép chất ma túy (có thể biết hoặc không biết) đã gây ra một số bệnh nguy hiểm cho người sử dụng chất ma túy như HIV/AIDS, viêm gan B, lao…</w:t>
      </w:r>
    </w:p>
    <w:p w14:paraId="65C6B3D9"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Trường hợp người tổ chức sử dụng trái phép chất ma túy biết bản thân họ hoặc người khác đã nhiễm HIV mà cố ý lây truyền HIV cho người sử dụng chất ma túy thì cùng với việc bị truy cứu trách nhiệm hình sự về tội tổ chức sử dụng trái phép chất ma túy theo quy định tại điểm g khoản 2 Điều 197 của BLHS, người này còn bị truy cứu trách nhiệm hình sự về tội lây truyền HIV cho người khác theo quy định tại Điều 117 của BLHS hoặc tội cố ý truyền HIV cho người khác theo quy định tại Điều 118 của BLHS.</w:t>
      </w:r>
    </w:p>
    <w:p w14:paraId="12EE8B2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c) “Gây bệnh nguy hiểm cho nhiều người” quy định tại điểm b khoản 3 Điều 197 của BLHS là gây bệnh nguy hiểm cho từ hai người trở lên.</w:t>
      </w:r>
    </w:p>
    <w:p w14:paraId="645C887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d) “Gây tổn hại cho sức khỏe của nhiều người mà tỷ lệ thương tật từ 31% đến 60%” quy định tại điểm b khoản 3 Điều 197 của BLHS là trường hợp gây tổn hại cho sức khỏe của từ hai người trở lên mà tỷ lệ thương tật của mỗi người từ 31% đến 60%.</w:t>
      </w:r>
    </w:p>
    <w:p w14:paraId="4CED2E4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đ) “Gây tổn hại cho sức khỏe của nhiều người mà tỷ lệ thương tật 61% trở lên” quy định tại điểm a khoản 4 Điều 197 của BLHS là trường hợp gây tổn hại cho sức khỏe của từ hai người trở lên mà tỷ lệ thương tật của mỗi người từ 61% trở lên.</w:t>
      </w:r>
    </w:p>
    <w:p w14:paraId="42143D5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7. Tội chứa chấp việc sử dụng trái phép chất ma túy (Điều 198)</w:t>
      </w:r>
    </w:p>
    <w:p w14:paraId="1D82289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xml:space="preserve">7.1. “Chứa chấp việc sử dụng trái phép chất ma túy” là hành vi của người có địa điểm thuộc quyền chiếm hữu của mình hoặc do mình quản lý biết người khác là đối tượng sử dụng trái phép chất ma túy, nhưng vẫn cho họ mượn hoặc thuê địa điểm đó để họ </w:t>
      </w:r>
      <w:r>
        <w:rPr>
          <w:rFonts w:ascii="Arial" w:hAnsi="Arial" w:cs="Arial"/>
        </w:rPr>
        <w:lastRenderedPageBreak/>
        <w:t>trực tiếp sử dụng trái phép chất ma túy nhằm thỏa mãn nhu cầu của họ về sử dụng chất ma túy.</w:t>
      </w:r>
    </w:p>
    <w:p w14:paraId="255D127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7.2. “Có bất kỳ hành vi nào khác chứa chấp việc sử dụng trái phép chất ma túy” là trường hợp người có địa điểm thuộc quyền chiếm hữu của mình hoặc do mình quản lý, biết người khác (không phải là ông, bà, cha, mẹ, con, cháu, anh chị em ruột, vợ hoặc chồng của mình) là đối tượng sử dụng trái phép chất ma túy, tuy không cho họ thuê, mượn địa điểm, nhưng lại để mặc cho họ hai lần sử dụng trái phép chất ma túy trở lên hoặc để mặc cho nhiều người sử dụng trái phép chất ma túy.</w:t>
      </w:r>
    </w:p>
    <w:p w14:paraId="7E9A034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7.3. Khi truy cứu trách nhiệm hình sự đối với người chứa chấp việc sử dụng trái phép chất ma túy cần phân biệt:</w:t>
      </w:r>
    </w:p>
    <w:p w14:paraId="757C561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Người có địa điểm cho người khác mượn hoặc thuê địa điểm mà biết là họ dùng địa điểm đó không phải để họ sử dụng chất ma túy nhằm thỏa mãn nhu cầu của họ về sử dụng chất ma túy, mà dùng địa điểm đó để đưa chất ma túy trái phép vào cơ thể người khác, thì phải bị truy cứu trách nhiệm hình sự về tội “tổ chức sử dụng trái phép chất ma túy” quy định tại Điều 197 của BLHS.</w:t>
      </w:r>
    </w:p>
    <w:p w14:paraId="3DFEA88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Người nghiện ma túy cho người nghiện ma túy khác cùng sử dụng trái phép chất ma túy tại địa điểm thuộc quyền sở hữu, chiếm hữu hoặc quản lý của mình thì không phải chịu trách nhiệm hình sự về tội chứa chấp sử dụng trái phép chất ma túy; đối với người nào có đầy đủ các yếu tố cấu thành tội sử dụng trái phép chất ma túy, thì người đó phải chịu trách nhiệm hình sự về tội sử dụng trái phép chất ma túy quy định tại Điều 199 của BLHS.</w:t>
      </w:r>
    </w:p>
    <w:p w14:paraId="6D93777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8. Tội sử dụng trái phép chất ma túy (Điều 199)</w:t>
      </w:r>
    </w:p>
    <w:p w14:paraId="4D59F95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8.1. “Sử dụng trái phép chất ma túy” là hành vi tự mình hoặc nhờ người khác đưa trái phép chất ma túy vào cơ thể mình dưới bất kỳ hình thức nào (như hút, hít, uống, tiêm, chích…) nhằm thỏa mãn nhu cầu sử dụng chất ma túy.</w:t>
      </w:r>
    </w:p>
    <w:p w14:paraId="0FBEC5E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8.2. Chỉ truy cứu trách nhiệm hình sự về tội sử dụng trái phép chất ma túy theo quy định tại Điều 199 của BLHS trong trường hợp người sử dụng trái phép chất ma túy “đã được giáo dục nhiều lần” và sau đó lại “đã bị xử lý hành chính bằng biện pháp đưa vào cơ sở bắt buộc chữa bệnh” mà còn tiếp tục sử dụng trái phép chất ma túy.</w:t>
      </w:r>
    </w:p>
    <w:p w14:paraId="24BA5C0D"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“Đã được giáo dục nhiều lần” là đã được cơ quan nhà nước, tổ chức cũng như những người có trách nhiệm ở địa phương từ hai lần trở lên vận động, thuyết phục, nhắc nhở (việc áp dụng các biện pháp giáo dục này phải được thể hiện bằng văn bản) hoặc xử phạt vi phạm hành chính, nhưng vẫn tiếp tục sử dụng trái phép chất ma túy;</w:t>
      </w:r>
    </w:p>
    <w:p w14:paraId="1C6A163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lastRenderedPageBreak/>
        <w:t>b) “Đã bị xử lý hành chính bằng biện pháp đưa vào cơ sở chữa bệnh bắt buộc” là đã bị đưa vào cơ sở cai nghiện bắt buộc theo quy định tại các điều 28, 29 Luật phòng chống ma túy năm 2000, Điều 26 Pháp lệnh xử lý vi phạm hành chính năm 2002 và Nghị định số </w:t>
      </w:r>
      <w:hyperlink r:id="rId8" w:history="1">
        <w:r>
          <w:rPr>
            <w:rStyle w:val="Hyperlink"/>
            <w:rFonts w:ascii="Arial" w:hAnsi="Arial" w:cs="Arial"/>
            <w:color w:val="135ECD"/>
            <w:sz w:val="21"/>
            <w:szCs w:val="21"/>
          </w:rPr>
          <w:t>135/2004/NĐ-CP </w:t>
        </w:r>
      </w:hyperlink>
      <w:r>
        <w:rPr>
          <w:rFonts w:ascii="Arial" w:hAnsi="Arial" w:cs="Arial"/>
        </w:rPr>
        <w:t>ngày 10/6/2004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 (đã có quyết định của Chủ tịch Ủy ban nhân dân huyện, quận, thị xã, thành phố thuộc tỉnh đưa vào cơ sở cai nghiện bắt buộc và thực tế người đó đã bị đưa vào cơ sở này, không đòi hỏi phải đã chấp hành xong quyết định), nhưng chưa hết thời hạn để được coi là chưa bị xử lý hành chính theo quy định của pháp luật về xử lý vi phạm hành chính.</w:t>
      </w:r>
    </w:p>
    <w:p w14:paraId="2CE4393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8.3. Trường hợp người nghiện ma túy tự nguyện hoặc gia đình làm đơn xin cai nghiện và đã được nhận vào cai nghiện tại cơ sở cai nghiện bắt buộc thì không coi là: “Đã bị xử lý hành chính bằng biện pháp đưa vào cơ sở bắt buộc chữa bệnh”.</w:t>
      </w:r>
    </w:p>
    <w:p w14:paraId="4A73D403"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9. Tội cưỡng bức, lôi kéo người khác sử dụng trái phép chất ma túy (Điều 200)</w:t>
      </w:r>
    </w:p>
    <w:p w14:paraId="5899598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9.1. “Cưỡng bức người khác sử dụng trái phép chất ma túy” là hành vi dùng vũ lực hoặc đe dọa dùng vũ lực hoặc các thủ đoạn khác uy hiếp tinh thần của người khác để buộc họ phải sử dụng trái phép chất ma túy trái với ý muốn của họ.</w:t>
      </w:r>
    </w:p>
    <w:p w14:paraId="0E0D1D4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9.2. “Lôi kéo người khác sử dụng trái phép chất ma túy” là hành vi rủ rê, dụ dỗ, xúi giục hoặc bằng các thủ đoạn khác nhằm khêu gợi sự ham muốn của người khác để họ sử dụng trái phép chất ma túy.</w:t>
      </w:r>
    </w:p>
    <w:p w14:paraId="28285F2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9.3. Về một số tình tiết định khung hình phạt quy định tại Điều 200 của BLHS:</w:t>
      </w:r>
    </w:p>
    <w:p w14:paraId="2FD7C791"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a) “Vì động cơ đê hèn” quy định tại điểm c khoản 2 Điều 200 của BLHS là vì động cơ trả thù hoặc vì các động cơ tư lợi, thấp hèn khác;</w:t>
      </w:r>
    </w:p>
    <w:p w14:paraId="040FE271"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b) “Gây bệnh nguy hiểm cho người khác” quy định tại điểm i khoản 2 Điều 200 của BLHS là trường hợp người phạm tội (có thể biết hoặc không biết) đã gây ra cho người bị cưỡng bức, lôi kéo sử dụng trái phép chất ma túy một số bệnh nguy hiểm như HIV/AIDS, viêm gan B, lao…</w:t>
      </w:r>
    </w:p>
    <w:p w14:paraId="706EB794"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xml:space="preserve">Trường hợp người cưỡng bức, lôi kéo người khác sử dụng trái phép chất ma túy biết bản thân họ hoặc người khác đã nhiễm HIV mà cố ý lây truyền HIV cho người sử dụng chất ma túy thì cùng với việc bị truy cứu trách nhiệm hình sự về tội cưỡng bức, lôi kéo người khác sử dụng trái phép chất ma túy theo quy định tại điểm i khoản 2 Điều 200 của BLHS, người này còn bị truy cứu trách nhiệm hình sự về tội lây truyền HIV cho </w:t>
      </w:r>
      <w:r>
        <w:rPr>
          <w:rFonts w:ascii="Arial" w:hAnsi="Arial" w:cs="Arial"/>
        </w:rPr>
        <w:lastRenderedPageBreak/>
        <w:t>người khác theo quy định tại Điều 117 của BLHS hoặc tội cố ý truyền HIV cho người khác theo quy định tại Điều 118 của BLHS.</w:t>
      </w:r>
    </w:p>
    <w:p w14:paraId="6285A140"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c) “Gây bệnh nguy hiểm cho nhiều người” quy định tại điểm b khoản 3 Điều 200 của BLHS là gây bệnh nguy hiểm cho từ hai người trở lên.</w:t>
      </w:r>
    </w:p>
    <w:p w14:paraId="3B87F116"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d) “Gây chết nhiều người” quy định tại khoản 4 Điều 200 của BLHS là trường hợp việc cưỡng bức, lôi kéo người khác sử dụng trái phép chất ma túy đã gây ra cái chết của từ hai người trở lên.</w:t>
      </w:r>
    </w:p>
    <w:p w14:paraId="6938B4D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e) “Gây hậu quả đặc biệt nghiêm trọng khác” quy định tại khoản 4 Điều 200 của BLHS là gây hậu quả chết một người đồng thời gây bệnh nguy hiểm cho nhiều người hoặc gây ra các hậu quả đặc biệt nghiêm trọng về kinh tế, xã hội (như gây khó khăn, cản trở việc cai nghiện ma túy, gây dư luận bất bình, làm quần chúng hoang mang, lo sợ v.v…).</w:t>
      </w:r>
    </w:p>
    <w:p w14:paraId="3F7F038F"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10. Tội vi phạm quy định về quản lý, sử dụng thuốc gây nghiện hoặc các chất ma túy khác (Điều 201)</w:t>
      </w:r>
    </w:p>
    <w:p w14:paraId="06B8622A"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“Vi phạm quy định về quản lý, sử dụng thuốc gây nghiện hoặc các chất ma túy khác” quy định tại khoản 1 Điều 201 của BLHS được hiểu là hành vi của người có trách nhiệm trong việc nghiên cứu, giám định, sản xuất, xuất khẩu, nhập khẩu, quá cảnh, mua bán, vận chuyển, bảo quản, tàng trữ, phân phối, cấp phát, sử dụng, xử lý, trao đổi thuốc gây nghiện và các chất ma túy khác đã không làm đúng quy định của Nhà nước về quản lý và sử dụng các chất đó (như không thực hiện đúng với giấy phép quy định về số lượng, chất lượng, chủng loại, sai với các quy trình hoạt động hoặc phân phối hoặc cấp phát không đúng đối tượng. Ví dụ, bán thuốc gây nghiện cho người khác mà không có đơn của thầy thuốc có thẩm quyền.. hoặc thiếu trách nhiệm trong các hoạt động xuất khẩu, nhập khẩu, mua bán, vận chuyển, bảo quản, phân phối, cấp phát, sử dụng thuốc gây nghiện hoặc các chất ma túy khác, để xảy ra mất mát, hư hỏng, sai số lượng, chất lượng, chủng loại…).</w:t>
      </w:r>
    </w:p>
    <w:p w14:paraId="6A9A973C" w14:textId="77777777" w:rsidR="00D9280B" w:rsidRDefault="00D9280B" w:rsidP="00D9280B">
      <w:pPr>
        <w:pStyle w:val="NormalWeb"/>
        <w:spacing w:after="90" w:afterAutospacing="0" w:line="345" w:lineRule="atLeast"/>
        <w:jc w:val="both"/>
        <w:rPr>
          <w:rFonts w:ascii="Arial" w:hAnsi="Arial" w:cs="Arial"/>
        </w:rPr>
      </w:pPr>
      <w:r>
        <w:rPr>
          <w:rStyle w:val="Strong"/>
          <w:rFonts w:ascii="Arial" w:hAnsi="Arial" w:cs="Arial"/>
          <w:sz w:val="21"/>
          <w:szCs w:val="21"/>
        </w:rPr>
        <w:t>III. HIỆU LỰC THI HÀNH</w:t>
      </w:r>
    </w:p>
    <w:p w14:paraId="47A8B88E"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 xml:space="preserve">1. Thông tư này có hiệu lực thi hành sau mười lăm ngày, kể từ ngày đăng Công báo và thay thế Thông tư liên tịch số 01/1998/TTLT-TANDTC-VKSNDTC-BNV ngày 02/01/1998 của Tòa án nhân dân tối cao, Viện kiểm sát nhân dân tối cao, Bộ Nội vụ (nay là Bộ Công an) hướng dẫn áp dụng một số quy định của Luật sửa đổi, bổ sung một số điều của BLHS và Thông tư liên tịch số 02/1998/TTLT-TANDTC-VKSNDTC-BCA ngày 05/8/1998 của Tòa án nhân dân tối cao, Viện kiểm sát nhân dân tối cao, Bộ </w:t>
      </w:r>
      <w:r>
        <w:rPr>
          <w:rFonts w:ascii="Arial" w:hAnsi="Arial" w:cs="Arial"/>
        </w:rPr>
        <w:lastRenderedPageBreak/>
        <w:t>Công an hướng dẫn áp dụng một số quy định tại Chương VIIA “các tội phạm về ma túy” của BLHS.</w:t>
      </w:r>
    </w:p>
    <w:p w14:paraId="2EBCFEAC"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2. Các hướng dẫn trong Thông tư này nếu làm giảm nhẹ trách nhiệm hình sự so với các văn bản trước đây thì được áp dụng khi điều tra, truy tố, xét xử sơ thẩm, xét xử phúc thẩm, xét xử giám đốc thẩm hoặc tái thẩm đối với người thực hiện hành vi phạm tội trước khi Thông tư này có hiệu lực.</w:t>
      </w:r>
    </w:p>
    <w:p w14:paraId="2382D338"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3. Đối với các trường hợp mà người phạm tội đã bị kết án đúng theo các văn bản trước đây và bản án đã có hiệu lực pháp luật thì không áp dụng các hướng dẫn trong Thông tư này để kháng nghị theo trình tự giám đốc thẩm, tái thẩm, trừ trường hợp có những căn cứ kháng nghị khác. Nếu theo Thông tư này, họ không phải chịu trách nhiệm hình sự thì giải quyết theo thủ tục miễn chấp hành hình phạt.</w:t>
      </w:r>
    </w:p>
    <w:p w14:paraId="6CEDD0CD"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4. Đối với các trường hợp đang tiến hành điều tra, truy cố, xét xử sơ thẩm, xét xử phúc thẩm, xét xử giám đốc thẩm hoặc tái thẩm mà được áp dụng các hướng dẫn trong Thông tư này để tuyên bố miễn trách nhiệm hình sự cho bị can, bị cáo thì Cơ quan điều tra, Viện kiểm sát, Tòa án cần giải thích cho họ rõ về trường hợp được miễn trách nhiệm hình sự này không phải là cơ sở của việc bồi thường thiệt hại do người có thẩm quyền của cơ quan tiến hành tố tụng gây ra.</w:t>
      </w:r>
    </w:p>
    <w:p w14:paraId="7A7030EB" w14:textId="77777777" w:rsidR="00D9280B" w:rsidRDefault="00D9280B" w:rsidP="00D9280B">
      <w:pPr>
        <w:pStyle w:val="NormalWeb"/>
        <w:spacing w:after="90" w:afterAutospacing="0" w:line="345" w:lineRule="atLeast"/>
        <w:jc w:val="both"/>
        <w:rPr>
          <w:rFonts w:ascii="Arial" w:hAnsi="Arial" w:cs="Arial"/>
        </w:rPr>
      </w:pPr>
      <w:r>
        <w:rPr>
          <w:rFonts w:ascii="Arial" w:hAnsi="Arial" w:cs="Arial"/>
        </w:rPr>
        <w:t>5. Trong quá trình thực hiện Thông tư này, nếu thấy có vướng mắc hoặc cần phải hướng dẫn, giải thích bổ sung thì đề nghị phản ánh về Bộ Công an, Viện kiểm sát nhân dân tối cao, Tòa án nhân dân tối cao, Bộ Tư pháp để có giải thích, hướng dẫn kịp thời./.</w:t>
      </w:r>
    </w:p>
    <w:tbl>
      <w:tblPr>
        <w:tblW w:w="9004"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835"/>
        <w:gridCol w:w="4169"/>
      </w:tblGrid>
      <w:tr w:rsidR="00D9280B" w14:paraId="69316EC3" w14:textId="77777777" w:rsidTr="00D9280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1AFAB" w14:textId="77777777" w:rsidR="00D9280B" w:rsidRDefault="00D9280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VIỆN TRƯỞNG</w:t>
            </w:r>
            <w:r>
              <w:rPr>
                <w:rFonts w:ascii="Arial" w:hAnsi="Arial" w:cs="Arial"/>
                <w:b/>
                <w:bCs/>
                <w:sz w:val="21"/>
                <w:szCs w:val="21"/>
              </w:rPr>
              <w:br/>
            </w:r>
            <w:r>
              <w:rPr>
                <w:rStyle w:val="Strong"/>
                <w:rFonts w:ascii="Arial" w:hAnsi="Arial" w:cs="Arial"/>
                <w:sz w:val="21"/>
                <w:szCs w:val="21"/>
              </w:rPr>
              <w:t>VIỆN KIỂM SÁT NHÂN DÂN TỐI CAO</w:t>
            </w:r>
            <w:r>
              <w:rPr>
                <w:rFonts w:ascii="Arial" w:hAnsi="Arial" w:cs="Arial"/>
                <w:b/>
                <w:bCs/>
                <w:sz w:val="21"/>
                <w:szCs w:val="21"/>
              </w:rPr>
              <w:br/>
            </w:r>
            <w:r>
              <w:rPr>
                <w:rStyle w:val="Strong"/>
                <w:rFonts w:ascii="Arial" w:hAnsi="Arial" w:cs="Arial"/>
                <w:sz w:val="21"/>
                <w:szCs w:val="21"/>
              </w:rPr>
              <w:t>PHÓ VIỆN TRƯỞNG</w:t>
            </w:r>
          </w:p>
          <w:p w14:paraId="6A8CF62E" w14:textId="77777777" w:rsidR="00D9280B" w:rsidRDefault="00D9280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Hoàng Nghĩa Mai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D325B" w14:textId="77777777" w:rsidR="00D9280B" w:rsidRDefault="00D9280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 BỘ CÔNG AN</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Style w:val="Strong"/>
                <w:rFonts w:ascii="Arial" w:hAnsi="Arial" w:cs="Arial"/>
                <w:sz w:val="21"/>
                <w:szCs w:val="21"/>
              </w:rPr>
              <w:t>THƯỢNG TƯỚNG</w:t>
            </w:r>
          </w:p>
          <w:p w14:paraId="27119943" w14:textId="77777777" w:rsidR="00D9280B" w:rsidRDefault="00D9280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Lê Thế Tiệm</w:t>
            </w:r>
          </w:p>
        </w:tc>
      </w:tr>
      <w:tr w:rsidR="00D9280B" w14:paraId="50E49898" w14:textId="77777777" w:rsidTr="00D9280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31D5C" w14:textId="77777777" w:rsidR="00D9280B" w:rsidRDefault="00D9280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CHÁNH ÁN</w:t>
            </w:r>
            <w:r>
              <w:rPr>
                <w:rFonts w:ascii="Arial" w:hAnsi="Arial" w:cs="Arial"/>
                <w:b/>
                <w:bCs/>
                <w:sz w:val="21"/>
                <w:szCs w:val="21"/>
              </w:rPr>
              <w:br/>
            </w:r>
            <w:r>
              <w:rPr>
                <w:rStyle w:val="Strong"/>
                <w:rFonts w:ascii="Arial" w:hAnsi="Arial" w:cs="Arial"/>
                <w:sz w:val="21"/>
                <w:szCs w:val="21"/>
              </w:rPr>
              <w:t>TÒA ÁN NHÂN DÂN TỐI CAO</w:t>
            </w:r>
            <w:r>
              <w:rPr>
                <w:rFonts w:ascii="Arial" w:hAnsi="Arial" w:cs="Arial"/>
                <w:b/>
                <w:bCs/>
                <w:sz w:val="21"/>
                <w:szCs w:val="21"/>
              </w:rPr>
              <w:br/>
            </w:r>
            <w:r>
              <w:rPr>
                <w:rStyle w:val="Strong"/>
                <w:rFonts w:ascii="Arial" w:hAnsi="Arial" w:cs="Arial"/>
                <w:sz w:val="21"/>
                <w:szCs w:val="21"/>
              </w:rPr>
              <w:t>PHÓ CHÁNH ÁN THƯỜNG TRỰC</w:t>
            </w:r>
          </w:p>
          <w:p w14:paraId="633A2930" w14:textId="77777777" w:rsidR="00D9280B" w:rsidRDefault="00D9280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Đặng Quang Phương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AFD50" w14:textId="77777777" w:rsidR="00D9280B" w:rsidRDefault="00D9280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BỘ TƯ PHÁP</w:t>
            </w:r>
            <w:r>
              <w:rPr>
                <w:rFonts w:ascii="Arial" w:hAnsi="Arial" w:cs="Arial"/>
                <w:b/>
                <w:bCs/>
                <w:sz w:val="21"/>
                <w:szCs w:val="21"/>
              </w:rPr>
              <w:br/>
            </w:r>
            <w:r>
              <w:rPr>
                <w:rStyle w:val="Strong"/>
                <w:rFonts w:ascii="Arial" w:hAnsi="Arial" w:cs="Arial"/>
                <w:sz w:val="21"/>
                <w:szCs w:val="21"/>
              </w:rPr>
              <w:t>THỨ TRƯỞNG THƯỜNG TRỰC</w:t>
            </w:r>
          </w:p>
          <w:p w14:paraId="5CE4CEF6" w14:textId="77777777" w:rsidR="00D9280B" w:rsidRDefault="00D9280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Hoàng Thế Liên</w:t>
            </w:r>
          </w:p>
        </w:tc>
      </w:tr>
    </w:tbl>
    <w:p w14:paraId="6CBEE844" w14:textId="77777777" w:rsidR="00D9280B" w:rsidRDefault="00D9280B" w:rsidP="00D9280B">
      <w:pPr>
        <w:pStyle w:val="NormalWeb"/>
        <w:spacing w:after="90" w:afterAutospacing="0" w:line="345" w:lineRule="atLeast"/>
        <w:jc w:val="both"/>
        <w:rPr>
          <w:rFonts w:ascii="Arial" w:hAnsi="Arial" w:cs="Arial"/>
          <w:szCs w:val="24"/>
        </w:rPr>
      </w:pPr>
    </w:p>
    <w:p w14:paraId="29E29492" w14:textId="6F413325" w:rsidR="008100A5" w:rsidRPr="00D9280B" w:rsidRDefault="008100A5" w:rsidP="00D9280B"/>
    <w:sectPr w:rsidR="008100A5" w:rsidRPr="00D9280B" w:rsidSect="00EF16BB">
      <w:headerReference w:type="even" r:id="rId9"/>
      <w:headerReference w:type="default" r:id="rId10"/>
      <w:footerReference w:type="even" r:id="rId11"/>
      <w:footerReference w:type="default" r:id="rId1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B09CE" w14:textId="77777777" w:rsidR="00DB2CE1" w:rsidRDefault="00DB2CE1">
      <w:r>
        <w:separator/>
      </w:r>
    </w:p>
  </w:endnote>
  <w:endnote w:type="continuationSeparator" w:id="0">
    <w:p w14:paraId="3C144532" w14:textId="77777777" w:rsidR="00DB2CE1" w:rsidRDefault="00DB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E63A8" w14:textId="77777777" w:rsidR="00DB2CE1" w:rsidRDefault="00DB2CE1">
      <w:r>
        <w:separator/>
      </w:r>
    </w:p>
  </w:footnote>
  <w:footnote w:type="continuationSeparator" w:id="0">
    <w:p w14:paraId="05DC8A7A" w14:textId="77777777" w:rsidR="00DB2CE1" w:rsidRDefault="00DB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B2CE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2F5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D0575"/>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80B"/>
    <w:rsid w:val="00D92CBE"/>
    <w:rsid w:val="00D94784"/>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135-2004-nd-cp-cua-chinh-phu---nghi-dinh-quy-dinh-che-do-ap-dung-bien-phap-dua-vao-co-so-chua-benh--to-chuc-hoat-dong-cua-co-so-chua-benh-theo-phap-lenh-xu-ly-vi-pham-hanh-chinh-va-che-do.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bo-luat-hinh-su-nam-1999.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24</Pages>
  <Words>7835</Words>
  <Characters>44661</Characters>
  <Application>Microsoft Office Word</Application>
  <DocSecurity>0</DocSecurity>
  <Lines>372</Lines>
  <Paragraphs>104</Paragraphs>
  <ScaleCrop>false</ScaleCrop>
  <Company/>
  <LinksUpToDate>false</LinksUpToDate>
  <CharactersWithSpaces>52392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340</cp:revision>
  <dcterms:created xsi:type="dcterms:W3CDTF">2024-12-02T03:13:00Z</dcterms:created>
  <dcterms:modified xsi:type="dcterms:W3CDTF">2025-01-10T07:17:00Z</dcterms:modified>
</cp:coreProperties>
</file>