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67"/>
        <w:gridCol w:w="5437"/>
      </w:tblGrid>
      <w:tr w:rsidR="006F49FC" w14:paraId="7039796E" w14:textId="77777777" w:rsidTr="006F49FC">
        <w:trPr>
          <w:tblCellSpacing w:w="0" w:type="dxa"/>
        </w:trPr>
        <w:tc>
          <w:tcPr>
            <w:tcW w:w="3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B2783" w14:textId="77777777" w:rsidR="006F49FC" w:rsidRDefault="006F49F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 -</w:t>
            </w:r>
            <w:r>
              <w:rPr>
                <w:rFonts w:ascii="Arial" w:hAnsi="Arial" w:cs="Arial"/>
                <w:b/>
                <w:bCs/>
                <w:color w:val="000000"/>
                <w:sz w:val="21"/>
                <w:szCs w:val="21"/>
              </w:rPr>
              <w:br/>
            </w: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7A7B3" w14:textId="77777777" w:rsidR="006F49FC" w:rsidRDefault="006F49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49FC" w14:paraId="5BC10789" w14:textId="77777777" w:rsidTr="006F49FC">
        <w:trPr>
          <w:tblCellSpacing w:w="0" w:type="dxa"/>
        </w:trPr>
        <w:tc>
          <w:tcPr>
            <w:tcW w:w="3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47775" w14:textId="77777777" w:rsidR="006F49FC" w:rsidRDefault="006F49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20/2016/TTLT-BGDĐT-BQP</w:t>
            </w:r>
          </w:p>
        </w:tc>
        <w:tc>
          <w:tcPr>
            <w:tcW w:w="5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79F25" w14:textId="77777777" w:rsidR="006F49FC" w:rsidRDefault="006F49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06 năm 2016</w:t>
            </w:r>
          </w:p>
        </w:tc>
      </w:tr>
    </w:tbl>
    <w:p w14:paraId="174AFC59" w14:textId="77777777" w:rsidR="006F49FC" w:rsidRDefault="006F49FC" w:rsidP="006F49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32BF9330" w14:textId="77777777" w:rsidR="006F49FC" w:rsidRDefault="006F49FC" w:rsidP="006F49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THỰC HIỆN PHÁP LUẬT VỀ NGHĨA VỤ QUÂN SỰ VÀ ĐÀO TẠO NHÂN VIÊN CHUYÊN MÔN KỸ THUẬT CHO QUÂN ĐỘI</w:t>
      </w:r>
    </w:p>
    <w:p w14:paraId="7A7E5C6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5CAB853A"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36/2012/NĐ-CP </w:t>
        </w:r>
      </w:hyperlink>
      <w:r>
        <w:rPr>
          <w:rStyle w:val="Emphasis"/>
          <w:rFonts w:ascii="Arial" w:hAnsi="Arial" w:cs="Arial"/>
          <w:color w:val="000000"/>
          <w:sz w:val="21"/>
          <w:szCs w:val="21"/>
        </w:rPr>
        <w:t>ngày 18 tháng 4 năm 2012 của Chính phủ quy định chức năng, nhiệm vụ, quyền hạn và cơ cấu tổ chức của bộ, cơ quan ngang bộ;</w:t>
      </w:r>
    </w:p>
    <w:p w14:paraId="3B22E9B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32/2008/NĐ-CP </w:t>
        </w:r>
      </w:hyperlink>
      <w:r>
        <w:rPr>
          <w:rStyle w:val="Emphasis"/>
          <w:rFonts w:ascii="Arial" w:hAnsi="Arial" w:cs="Arial"/>
          <w:color w:val="000000"/>
          <w:sz w:val="21"/>
          <w:szCs w:val="21"/>
        </w:rPr>
        <w:t>ngày 19 ổ chức của Bộ Giáo dục và Đào tạo;</w:t>
      </w:r>
    </w:p>
    <w:p w14:paraId="456C338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35/2013/NĐ-CP ngày 22 tháng 4 năm 2013 của Chính phủ quy định, chức năng, nhiệm vụ, quyền hạn và ổ chức của Bộ Quốc phòng;</w:t>
      </w:r>
    </w:p>
    <w:p w14:paraId="630157B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Bộ trưởng Bộ Quốc phòng ban hành Thông tư liên tịch Hướng dẫn thực hiện pháp luật về nghĩa vụ quân sự và đào tạo nhân viên kỹ thuật cho quân đội.</w:t>
      </w:r>
    </w:p>
    <w:p w14:paraId="458E3476"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B7F62D0"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hướng dẫn các cơ sở giáo dục trong hệ thống giáo dục</w:t>
      </w:r>
    </w:p>
    <w:p w14:paraId="60FEBE7F"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tịch này áp dụng đối với trường trung học phổ thông, trung tâm giáo dục thường xuyên, trường trung cấp, trường cao đẳng, cơ sở giáo dục đại học; các tổ chức, cá nhân có liên quan.</w:t>
      </w:r>
    </w:p>
    <w:p w14:paraId="27DEEE9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học viên là hạ sĩ quan, binh sĩ tại ngũ và không tại ngũ được quân đội tuyển chọn đang được đào tạo tại các cơ sở giáo dục; học sinh, sinh viên, học viên tại các cơ sở giáo dục ngoài quân đội; các đơn vị quân đội, Ban chỉ huy quân sự huyện, quận, thị xã, thành phố trực thuộc tỉnh (sau đây gọi chung là Ban chỉ huy quân sự cấp huyện) có liên quan trong thực hiện pháp luật về nghĩa vụ quân sự và đào tạo nhân viên chuyên môn kỹ thuật cho quân đội.</w:t>
      </w:r>
    </w:p>
    <w:p w14:paraId="2E73281D"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yêu cầu</w:t>
      </w:r>
    </w:p>
    <w:p w14:paraId="12D6A88B"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w:t>
      </w:r>
    </w:p>
    <w:p w14:paraId="500CA553"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Tuyên truyền, phổ biến, giáo dục pháp luật về nghĩa vụ quân sự cho các đối tượng quy định tại khoản 2 Điều 1 Thông tư liên tịch này, trong độ tuổi nhập ngũ và thực hiện nghĩa vụ quân sự theo quy định tại Điều 30 và Điều 32 của Luật Nghĩa vụ quân sự;</w:t>
      </w:r>
    </w:p>
    <w:p w14:paraId="102F5046"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cơ sở giáo dục trong hệ thống giáo dục quốc dân quy định tại khoản 2 Điều 1 của Thông tư liên tịch này đào tạo nhân viên chuyên môn kỹ thuật cho quân đội theo Quyết định của Thủ tướng Chính phủ.</w:t>
      </w:r>
    </w:p>
    <w:p w14:paraId="02274F39"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w:t>
      </w:r>
    </w:p>
    <w:p w14:paraId="3916DD41"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sở giáo dục xây dựng nội dung chuyên đề tuyên truyền, phổ biến, giáo dục pháp luật về nghĩa vụ quân sự. Đưa nội dung tuyên truyền, phổ biến, giáo dục pháp luật về nghĩa vụ quân sự vào chương trình giảng dạy, tập huấn, tuyên truyền phổ biến kiến thức pháp luật cho</w:t>
      </w:r>
    </w:p>
    <w:p w14:paraId="3D32CC26"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được giao nhiệm vụ theo Quyết định của Thủ tướng Chính phủ xây dựng chương trình đào tạo theo quy định của Bộ Quốc phòng về kiến thức chuyên ngành, nghề cho nhân viên chuyên môn kỹ thuật trình độ sơ cấp, trung cấp, cao đẳng.</w:t>
      </w:r>
    </w:p>
    <w:p w14:paraId="60CEADD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Tuyên truyền, phổ biến, giáo dục pháp luật về nghĩa vụ quân sự</w:t>
      </w:r>
    </w:p>
    <w:p w14:paraId="73F0CBE0"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w:t>
      </w:r>
    </w:p>
    <w:p w14:paraId="77CA5359"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Nghĩa vụ quân sự ngày 19 tháng 6 năm 2015;</w:t>
      </w:r>
    </w:p>
    <w:p w14:paraId="27EC6AA7"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văn bản quy phạm pháp luật quy định chi tiết, hướng dẫn việc thực hiện pháp luật về nghĩa vụ quân sự.</w:t>
      </w:r>
    </w:p>
    <w:p w14:paraId="33C4631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w:t>
      </w:r>
    </w:p>
    <w:p w14:paraId="101AE5DE"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qua chương trình giáo dục pháp luật trong các cơ sở giáo dục; i tìm hiểu pháp luật, tọa đàm, diễn đàn để tuyên truyền, phổ biến giáo dục pháp luật về nghĩa vụ quân sự.</w:t>
      </w:r>
    </w:p>
    <w:p w14:paraId="72F12E11"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w:t>
      </w:r>
    </w:p>
    <w:p w14:paraId="298139C3"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tuyên truyền, phổ biến, giáo dục pháp luật về nghĩa vụ quân sự trong các cơ sở giáo dục được thực hiện trong năm học.</w:t>
      </w:r>
    </w:p>
    <w:p w14:paraId="5D91C3C8"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Đào tạo nhân viên chuyên môn kỹ thuật cho quân đội</w:t>
      </w:r>
    </w:p>
    <w:p w14:paraId="3C10B69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các cơ sở giáo dục tổ chức đào tạo:</w:t>
      </w:r>
    </w:p>
    <w:p w14:paraId="683A482D"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Quyết định của Thủ tướng Chính phủ về việc giao nhiệm vụ cho cơ sở tổ chức đào tạo nhân viên chuyên môn kỹ thuật cho quân đội;</w:t>
      </w:r>
    </w:p>
    <w:p w14:paraId="1EEFC77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cấp có thẩm quyền giao chỉ tiêu đào tạo, có chương trình, nội dung đào tạo phù hợp với ngành, nghề và khả năng tiếp nhận đào tạo.</w:t>
      </w:r>
    </w:p>
    <w:p w14:paraId="6FC39690"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đào tạo:</w:t>
      </w:r>
    </w:p>
    <w:p w14:paraId="3D7401F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binh sĩ đã qua thời gian huấn luyện chiến sĩ mới hoặc các đối tượng thuộc quân đội quản lý đã được lựa chọn đủ tiêu chuẩn về sức khỏe, phẩm chất đạo đức, có nhu cầu tuyển chọn chuyển sang phục vụ theo chế độ quân nhân chuyên nghiệp hoặc công nhân, viên chức quốc phòng theo quy định của pháp luật;</w:t>
      </w:r>
    </w:p>
    <w:p w14:paraId="267BE05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học viên có đủ tiêu chuẩn về phẩm chất đạo đức, sức khỏe đã được tuyển chọn.</w:t>
      </w:r>
    </w:p>
    <w:p w14:paraId="795AE06B"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đào tạo:</w:t>
      </w:r>
    </w:p>
    <w:p w14:paraId="2E604F26"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nhân viên chuyên môn kỹ thuật cho quân đội có các trình độ: sơ cấp, trung cấp, cao đẳng.</w:t>
      </w:r>
    </w:p>
    <w:p w14:paraId="3FC93C6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đào tạo:</w:t>
      </w:r>
    </w:p>
    <w:p w14:paraId="261ED57F"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đào tạo cho các trình độ sơ cấp, trung cấp, cao đẳng được quy định tại Điều 32 của Luật Giáo dục năm 2005, Điều 33 của Luật Giáo dục nghề nghiệp năm 2014; theo quy định tại Quyết định của Chính phủ và</w:t>
      </w:r>
    </w:p>
    <w:p w14:paraId="07F124B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chương trình đào tạo:</w:t>
      </w:r>
    </w:p>
    <w:p w14:paraId="4919F6BD"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kiến thức, kỹ năng chuyên môn ngành, nghề hiện đang được cơ sở giáo dục triển khai đào tạo theo quy định;</w:t>
      </w:r>
    </w:p>
    <w:p w14:paraId="041B9957"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trình độ sơ cấp, trung cấp, cao đẳng được thực hiện theo quy định của cơ quan quản lý nhà nước ở Trung ương và Bộ trưởng Bộ Lao động - Thương binh và Xã hội (đối với trình độ sơ cấp).</w:t>
      </w:r>
    </w:p>
    <w:p w14:paraId="31D64891"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đào tạo có thể được thay đổi về nội dung, thời gian đào tạo cho</w:t>
      </w:r>
    </w:p>
    <w:p w14:paraId="04AAB1BB"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Chế độ quy định</w:t>
      </w:r>
    </w:p>
    <w:p w14:paraId="2370F840"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hạ sĩ quan, binh sĩ tại ngũ và học sinh, sinh viên, học viên được tuyển chọn đào tạo nhân viên chuyên môn kỹ thuật tại các cơ sở giáo dục:</w:t>
      </w:r>
    </w:p>
    <w:p w14:paraId="3FF0744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hưởng chế độ, chính sách đối với quân nhân tại ngũ và học sinh, sinh viên, học viên theo quy định;</w:t>
      </w:r>
    </w:p>
    <w:p w14:paraId="06A8ECF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 định của cơ sở giáo dục và quy định theo Điều lệnh quản lý bộ đội của Quân đội nhân dân Việt Nam. Sau khi tốt nghiệp khóa đào tạo được sắp xếp công tác theo ngành, nghề, chuyên ngành đào tạo và chấp hành sự phân công điều động của Bộ Quốc phòng.</w:t>
      </w:r>
    </w:p>
    <w:p w14:paraId="19982D5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Kinh phí</w:t>
      </w:r>
    </w:p>
    <w:p w14:paraId="7E0FC8AD"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tuyên truyền pháp luật về nghĩa vụ quân sự sử dụng từ ngân sách hằng năm, trích từ quỹ hoạt động tuyên truyền, phổ biến giáo dục pháp luật của cơ sở giáo dục theo quy định.</w:t>
      </w:r>
    </w:p>
    <w:p w14:paraId="3E929AE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đào tạo nhân viên chuyên môn kỹ thuật thực hiện theo Quyết định giao nhiệm vụ đào tạo của Thủ tướng Chính phủ và các nguồn khác theo quy định của pháp luật.</w:t>
      </w:r>
    </w:p>
    <w:p w14:paraId="194D1B6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thực hiện</w:t>
      </w:r>
    </w:p>
    <w:p w14:paraId="3E20506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Bộ Lao động - Thương binh và Xã hội chỉ đạo các cơ sở giáo dục thực hiện nhiệm vụ tuyên truyền, phổ biến, giáo dục pháp luật về nghĩa vụ quân sự hằng năm, tổ chức đào tạo nhân viên chuyên môn kỹ thuật cho quân đội theo Quyết định của Thủ tướng Chính phủ và</w:t>
      </w:r>
    </w:p>
    <w:p w14:paraId="78BA268F"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chỉ đạo các cơ quan chức năng hướng dẫn các đơn vị quân đội, Bộ Chỉ huy quân sự cấp tỉnh, thành phố xây dựng kế hoạch</w:t>
      </w:r>
    </w:p>
    <w:p w14:paraId="1866284C"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quân khu, quân chủng, binh chủng và Bộ Chỉ huy quân sự các tỉnh, thành phố trực thuộc Trung ương theo dõi chỉ đạo, hướng dẫn Ban Chỉ huy quân sự cấp huyện, các đơn vị trực thuộc</w:t>
      </w:r>
    </w:p>
    <w:p w14:paraId="2224B843"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các cơ sở giáo dục quy định tại Khoản 2 Điều 1 của Thông tư liên tịch này chịu trách nhiệm xây dựng nội dung, chương trình, kế hoạch tuyên truyền, phổ biến giáo dục pháp luật về nghĩa vụ quân sự; xây dựng nội dung, chương trình, kế hoạch tổ chức đào tạo nhân viên chuyên môn kỹ thuật trong cơ sở giáo dục theo nội dung, thời gian, yêu cầu quy định tại Thông tư liên tịch này.</w:t>
      </w:r>
    </w:p>
    <w:p w14:paraId="75BDB535"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đơn vị quân đội được Bộ Quốc phòng giao nhiệm vụ, Ban Chỉ huy quân sự cấp huyện phối hợp với các cơ sở giáo dục có trụ sở trên địa bàn xây dựng nội dung, chương trình, kế hoạch; tổ chức tuyên truyền, phổ biến giáo dục pháp luật về nghĩa vụ quân sự và đào tạo nhân viên chuyên môn kỹ thuật cho quân đội theo Quyết định của Thủ tướng Chính phủ.</w:t>
      </w:r>
    </w:p>
    <w:p w14:paraId="09DDAE6A"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khoản thi hành</w:t>
      </w:r>
    </w:p>
    <w:p w14:paraId="1878CB3D"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kể từ ngày 15 tháng 8 năm 2016.</w:t>
      </w:r>
    </w:p>
    <w:p w14:paraId="6D199582" w14:textId="77777777" w:rsidR="006F49FC" w:rsidRDefault="006F49FC" w:rsidP="006F49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các quy định tại Thông tư liên tịch này, nếu có khó khăn, vướng mắc đề nghị các cơ quan, tổ chức, cá nhân phản ánh về Bộ Giáo dục và Đào tạo để phối hợp với Bộ Quốc phòng xem xét, giải quyết./.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13"/>
        <w:gridCol w:w="4391"/>
      </w:tblGrid>
      <w:tr w:rsidR="006F49FC" w14:paraId="103FB19E" w14:textId="77777777" w:rsidTr="006F49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99ED5" w14:textId="77777777" w:rsidR="006F49FC" w:rsidRDefault="006F49F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BỘ QUỐC PHÒNG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Trung tướng Phan Văn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EF591" w14:textId="77777777" w:rsidR="006F49FC" w:rsidRDefault="006F49F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BỘ GIÁO DỤC VÀ ĐÀO TẠO</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Bùi Văn Ga</w:t>
            </w:r>
          </w:p>
        </w:tc>
      </w:tr>
      <w:tr w:rsidR="006F49FC" w14:paraId="33CA4241" w14:textId="77777777" w:rsidTr="006F49F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DAA46" w14:textId="77777777" w:rsidR="006F49FC" w:rsidRDefault="006F49FC" w:rsidP="006F49FC">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r>
            <w:r>
              <w:rPr>
                <w:rFonts w:ascii="Arial" w:hAnsi="Arial" w:cs="Arial"/>
                <w:sz w:val="21"/>
                <w:szCs w:val="21"/>
                <w:shd w:val="clear" w:color="auto" w:fill="FFFFFF"/>
              </w:rPr>
              <w:t>- Văn phòng Quốc hội;</w:t>
            </w:r>
            <w:r>
              <w:rPr>
                <w:rFonts w:ascii="Arial" w:hAnsi="Arial" w:cs="Arial"/>
                <w:sz w:val="21"/>
                <w:szCs w:val="21"/>
              </w:rPr>
              <w:br/>
            </w:r>
            <w:r>
              <w:rPr>
                <w:rFonts w:ascii="Arial" w:hAnsi="Arial" w:cs="Arial"/>
                <w:sz w:val="21"/>
                <w:szCs w:val="21"/>
                <w:shd w:val="clear" w:color="auto" w:fill="FFFFFF"/>
              </w:rPr>
              <w:t>- Văn phòng Chủ tịch nước;</w:t>
            </w:r>
            <w:r>
              <w:rPr>
                <w:rFonts w:ascii="Arial" w:hAnsi="Arial" w:cs="Arial"/>
                <w:sz w:val="21"/>
                <w:szCs w:val="21"/>
              </w:rPr>
              <w:br/>
            </w:r>
            <w:r>
              <w:rPr>
                <w:rFonts w:ascii="Arial" w:hAnsi="Arial" w:cs="Arial"/>
                <w:sz w:val="21"/>
                <w:szCs w:val="21"/>
                <w:shd w:val="clear" w:color="auto" w:fill="FFFFFF"/>
              </w:rPr>
              <w:t>- Văn phòng Chính phủ;</w:t>
            </w:r>
            <w:r>
              <w:rPr>
                <w:rFonts w:ascii="Arial" w:hAnsi="Arial" w:cs="Arial"/>
                <w:sz w:val="21"/>
                <w:szCs w:val="21"/>
              </w:rPr>
              <w:br/>
            </w:r>
            <w:r>
              <w:rPr>
                <w:rFonts w:ascii="Arial" w:hAnsi="Arial" w:cs="Arial"/>
                <w:sz w:val="21"/>
                <w:szCs w:val="21"/>
                <w:shd w:val="clear" w:color="auto" w:fill="FFFFFF"/>
              </w:rPr>
              <w:t>- Các Bộ và cơ quan ngang bộ, cơ quan thuộc Chính phủ;</w:t>
            </w:r>
            <w:r>
              <w:rPr>
                <w:rFonts w:ascii="Arial" w:hAnsi="Arial" w:cs="Arial"/>
                <w:sz w:val="21"/>
                <w:szCs w:val="21"/>
              </w:rPr>
              <w:br/>
            </w:r>
            <w:r>
              <w:rPr>
                <w:rFonts w:ascii="Arial" w:hAnsi="Arial" w:cs="Arial"/>
                <w:sz w:val="21"/>
                <w:szCs w:val="21"/>
                <w:shd w:val="clear" w:color="auto" w:fill="FFFFFF"/>
              </w:rPr>
              <w:t>- </w:t>
            </w:r>
            <w:r>
              <w:rPr>
                <w:rFonts w:ascii="Arial" w:hAnsi="Arial" w:cs="Arial"/>
                <w:sz w:val="21"/>
                <w:szCs w:val="21"/>
              </w:rPr>
              <w:t>Ủy ban</w:t>
            </w:r>
            <w:r>
              <w:rPr>
                <w:rFonts w:ascii="Arial" w:hAnsi="Arial" w:cs="Arial"/>
                <w:sz w:val="21"/>
                <w:szCs w:val="21"/>
                <w:shd w:val="clear" w:color="auto" w:fill="FFFFFF"/>
              </w:rPr>
              <w:t> VHGDTTN&amp;NĐ của Quốc hội;</w:t>
            </w:r>
            <w:r>
              <w:rPr>
                <w:rFonts w:ascii="Arial" w:hAnsi="Arial" w:cs="Arial"/>
                <w:sz w:val="21"/>
                <w:szCs w:val="21"/>
              </w:rPr>
              <w:br/>
            </w:r>
            <w:r>
              <w:rPr>
                <w:rFonts w:ascii="Arial" w:hAnsi="Arial" w:cs="Arial"/>
                <w:sz w:val="21"/>
                <w:szCs w:val="21"/>
                <w:shd w:val="clear" w:color="auto" w:fill="FFFFFF"/>
              </w:rPr>
              <w:t>- Hội đồng Quốc gia giáo dục và phát triển nguồn nhân lực;</w:t>
            </w:r>
            <w:r>
              <w:rPr>
                <w:rFonts w:ascii="Arial" w:hAnsi="Arial" w:cs="Arial"/>
                <w:sz w:val="21"/>
                <w:szCs w:val="21"/>
              </w:rPr>
              <w:br/>
            </w:r>
            <w:r>
              <w:rPr>
                <w:rFonts w:ascii="Arial" w:hAnsi="Arial" w:cs="Arial"/>
                <w:sz w:val="21"/>
                <w:szCs w:val="21"/>
                <w:shd w:val="clear" w:color="auto" w:fill="FFFFFF"/>
              </w:rPr>
              <w:t>- Các đơn vị trực thuộc Bộ QP: BCHQS các tỉnh, TP trực thuộc TW;</w:t>
            </w:r>
            <w:r>
              <w:rPr>
                <w:rFonts w:ascii="Arial" w:hAnsi="Arial" w:cs="Arial"/>
                <w:sz w:val="21"/>
                <w:szCs w:val="21"/>
              </w:rPr>
              <w:br/>
            </w:r>
            <w:r>
              <w:rPr>
                <w:rFonts w:ascii="Arial" w:hAnsi="Arial" w:cs="Arial"/>
                <w:sz w:val="21"/>
                <w:szCs w:val="21"/>
                <w:shd w:val="clear" w:color="auto" w:fill="FFFFFF"/>
              </w:rPr>
              <w:t>- Sở giáo dục và đào tạo các tỉnh, TP trực thuộc TW;</w:t>
            </w:r>
            <w:r>
              <w:rPr>
                <w:rFonts w:ascii="Arial" w:hAnsi="Arial" w:cs="Arial"/>
                <w:sz w:val="21"/>
                <w:szCs w:val="21"/>
              </w:rPr>
              <w:br/>
            </w:r>
            <w:r>
              <w:rPr>
                <w:rFonts w:ascii="Arial" w:hAnsi="Arial" w:cs="Arial"/>
                <w:sz w:val="21"/>
                <w:szCs w:val="21"/>
                <w:shd w:val="clear" w:color="auto" w:fill="FFFFFF"/>
              </w:rPr>
              <w:t>- Các đại học, học viện, tr</w:t>
            </w:r>
            <w:r>
              <w:rPr>
                <w:rFonts w:ascii="Arial" w:hAnsi="Arial" w:cs="Arial"/>
                <w:sz w:val="21"/>
                <w:szCs w:val="21"/>
              </w:rPr>
              <w:t>ườ</w:t>
            </w:r>
            <w:r>
              <w:rPr>
                <w:rFonts w:ascii="Arial" w:hAnsi="Arial" w:cs="Arial"/>
                <w:sz w:val="21"/>
                <w:szCs w:val="21"/>
                <w:shd w:val="clear" w:color="auto" w:fill="FFFFFF"/>
              </w:rPr>
              <w:t>ng ĐH, CĐ, TC;</w:t>
            </w:r>
            <w:r>
              <w:rPr>
                <w:rFonts w:ascii="Arial" w:hAnsi="Arial" w:cs="Arial"/>
                <w:sz w:val="21"/>
                <w:szCs w:val="21"/>
              </w:rPr>
              <w:br/>
            </w:r>
            <w:r>
              <w:rPr>
                <w:rFonts w:ascii="Arial" w:hAnsi="Arial" w:cs="Arial"/>
                <w:sz w:val="21"/>
                <w:szCs w:val="21"/>
                <w:shd w:val="clear" w:color="auto" w:fill="FFFFFF"/>
              </w:rPr>
              <w:t>- Cục kiểm tra văn bản QPPL/Bộ Tư pháp;</w:t>
            </w:r>
            <w:r>
              <w:rPr>
                <w:rFonts w:ascii="Arial" w:hAnsi="Arial" w:cs="Arial"/>
                <w:sz w:val="21"/>
                <w:szCs w:val="21"/>
              </w:rPr>
              <w:br/>
            </w:r>
            <w:r>
              <w:rPr>
                <w:rFonts w:ascii="Arial" w:hAnsi="Arial" w:cs="Arial"/>
                <w:sz w:val="21"/>
                <w:szCs w:val="21"/>
                <w:shd w:val="clear" w:color="auto" w:fill="FFFFFF"/>
              </w:rPr>
              <w:t>- Công báo Cổng TTĐT Chính phủ;</w:t>
            </w:r>
            <w:r>
              <w:rPr>
                <w:rFonts w:ascii="Arial" w:hAnsi="Arial" w:cs="Arial"/>
                <w:sz w:val="21"/>
                <w:szCs w:val="21"/>
              </w:rPr>
              <w:br/>
            </w:r>
            <w:r>
              <w:rPr>
                <w:rFonts w:ascii="Arial" w:hAnsi="Arial" w:cs="Arial"/>
                <w:sz w:val="21"/>
                <w:szCs w:val="21"/>
                <w:shd w:val="clear" w:color="auto" w:fill="FFFFFF"/>
              </w:rPr>
              <w:t>- Cổng TTĐT Bộ Giáo dục và Đào tạo, cổng TTĐT Bộ Quốc phòng;</w:t>
            </w:r>
            <w:r>
              <w:rPr>
                <w:rFonts w:ascii="Arial" w:hAnsi="Arial" w:cs="Arial"/>
                <w:sz w:val="21"/>
                <w:szCs w:val="21"/>
              </w:rPr>
              <w:br/>
            </w:r>
            <w:r>
              <w:rPr>
                <w:rFonts w:ascii="Arial" w:hAnsi="Arial" w:cs="Arial"/>
                <w:sz w:val="21"/>
                <w:szCs w:val="21"/>
                <w:shd w:val="clear" w:color="auto" w:fill="FFFFFF"/>
              </w:rPr>
              <w:t>- Lưu VT: Bộ QP, Bộ GDĐT.</w:t>
            </w:r>
          </w:p>
        </w:tc>
      </w:tr>
    </w:tbl>
    <w:p w14:paraId="6FF7EEF2" w14:textId="3FB93568" w:rsidR="006263BE" w:rsidRPr="006F49FC" w:rsidRDefault="006263BE" w:rsidP="006F49FC"/>
    <w:sectPr w:rsidR="006263BE" w:rsidRPr="006F49FC"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5A6E7" w14:textId="77777777" w:rsidR="00BA5EDE" w:rsidRDefault="00BA5EDE">
      <w:r>
        <w:separator/>
      </w:r>
    </w:p>
  </w:endnote>
  <w:endnote w:type="continuationSeparator" w:id="0">
    <w:p w14:paraId="5BCBE2FC" w14:textId="77777777" w:rsidR="00BA5EDE" w:rsidRDefault="00BA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DD753" w14:textId="77777777" w:rsidR="00BA5EDE" w:rsidRDefault="00BA5EDE">
      <w:r>
        <w:separator/>
      </w:r>
    </w:p>
  </w:footnote>
  <w:footnote w:type="continuationSeparator" w:id="0">
    <w:p w14:paraId="5684477A" w14:textId="77777777" w:rsidR="00BA5EDE" w:rsidRDefault="00BA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A5ED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5EDE"/>
    <w:rsid w:val="00BA6FE8"/>
    <w:rsid w:val="00BB5B1F"/>
    <w:rsid w:val="00BC1858"/>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6-2012-nd-cp-chuc-nang--nhiem-vu--quyen-han-bo--co-quan-ngang-bo.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nghia-vu-quan-su-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32-2008-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5</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360</cp:revision>
  <dcterms:created xsi:type="dcterms:W3CDTF">2024-12-02T03:13:00Z</dcterms:created>
  <dcterms:modified xsi:type="dcterms:W3CDTF">2025-01-10T09:08:00Z</dcterms:modified>
</cp:coreProperties>
</file>