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70"/>
        <w:gridCol w:w="5596"/>
      </w:tblGrid>
      <w:tr w:rsidR="00182F4E" w14:paraId="41F3F51F" w14:textId="77777777" w:rsidTr="00182F4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2EDA1" w14:textId="77777777" w:rsidR="00182F4E" w:rsidRDefault="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334F8" w14:textId="77777777" w:rsidR="00182F4E" w:rsidRDefault="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82F4E" w14:paraId="4F979EF4" w14:textId="77777777" w:rsidTr="00182F4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0F76BC" w14:textId="77777777" w:rsidR="00182F4E" w:rsidRDefault="00182F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08/2010/TT-BXD</w:t>
            </w:r>
          </w:p>
        </w:tc>
        <w:tc>
          <w:tcPr>
            <w:tcW w:w="5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AE749" w14:textId="77777777" w:rsidR="00182F4E" w:rsidRDefault="00182F4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7 năm 2010</w:t>
            </w:r>
          </w:p>
        </w:tc>
      </w:tr>
    </w:tbl>
    <w:p w14:paraId="06B9E2C4"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43D30CD"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PHƯƠNG PHÁP ĐIỀU CHỈNH GIÁ HỢP ĐỒNG XÂY DỰNG</w:t>
      </w:r>
    </w:p>
    <w:p w14:paraId="5A85F9C5" w14:textId="77777777" w:rsidR="00182F4E" w:rsidRDefault="00182F4E" w:rsidP="00182F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8" w:tgtFrame="_blank" w:history="1">
        <w:r>
          <w:rPr>
            <w:rStyle w:val="Hyperlink"/>
            <w:rFonts w:ascii="Arial" w:hAnsi="Arial" w:cs="Arial"/>
            <w:i/>
            <w:iCs/>
            <w:color w:val="135ECD"/>
            <w:sz w:val="21"/>
            <w:szCs w:val="21"/>
          </w:rPr>
          <w:t>17/2008/NĐ-CP</w:t>
        </w:r>
      </w:hyperlink>
      <w:r>
        <w:rPr>
          <w:rStyle w:val="Emphasis"/>
          <w:rFonts w:ascii="Arial" w:hAnsi="Arial" w:cs="Arial"/>
          <w:color w:val="000000"/>
          <w:sz w:val="21"/>
          <w:szCs w:val="21"/>
        </w:rPr>
        <w:t> ngày 04/02/2008 của Chính phủ quy định chức năng, nhiệm vụ, quyền hạn và cơ cấu tổ chức của Bộ Xây dựng;</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48/2010/NĐ-CP</w:t>
        </w:r>
      </w:hyperlink>
      <w:r>
        <w:rPr>
          <w:rStyle w:val="Emphasis"/>
          <w:rFonts w:ascii="Arial" w:hAnsi="Arial" w:cs="Arial"/>
          <w:color w:val="000000"/>
          <w:sz w:val="21"/>
          <w:szCs w:val="21"/>
        </w:rPr>
        <w:t> ngày 07/5/2010 của Chính phủ về hợp đồng trong hoạt động xây dựng,</w:t>
      </w:r>
      <w:r>
        <w:rPr>
          <w:rFonts w:ascii="Arial" w:hAnsi="Arial" w:cs="Arial"/>
          <w:i/>
          <w:iCs/>
          <w:color w:val="000000"/>
          <w:sz w:val="21"/>
          <w:szCs w:val="21"/>
        </w:rPr>
        <w:br/>
      </w:r>
      <w:r>
        <w:rPr>
          <w:rStyle w:val="Emphasis"/>
          <w:rFonts w:ascii="Arial" w:hAnsi="Arial" w:cs="Arial"/>
          <w:color w:val="000000"/>
          <w:sz w:val="21"/>
          <w:szCs w:val="21"/>
        </w:rPr>
        <w:t>Bộ Xây dựng hướng dẫn phương pháp điều chỉnh giá hợp đồng xây dựng như sau:</w:t>
      </w:r>
    </w:p>
    <w:p w14:paraId="60CBD77A"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7164628"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C8E100B"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10A79F1"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phương pháp điều chỉnh giá hợp đồng xây dựng thuộc dự án đầu tư xây dựng công trình sử dụng 30% vốn nhà nước trở lên.</w:t>
      </w:r>
    </w:p>
    <w:p w14:paraId="39F50DC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các tổ chức, cá nhân có liên quan đến điều chỉnh giá hợp đồng xây dựng thuộc các dự án đầu tư xây dựng công trình sử dụng 30% vốn nhà nước trở lên. Khuyến khích các tổ chức, cá nhân có liên quan đến điều chỉnh giá hợp đồng xây dựng thuộc các dự án đầu tư xây dựng công trình sử dụng ít hơn 30% vốn nhà nước áp dụng Thông tư này.</w:t>
      </w:r>
    </w:p>
    <w:p w14:paraId="091F9066"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hợp đồng xây dựng thuộc các dự án sử dụng nguồn vốn hỗ trợ phát triển chính thức (gọi tắt là ODA), nếu điều ước quốc tế mà Việt Nam là thành viên có những quy định khác với các quy định tại Thông tư này thì thực hiện theo các quy định của điều ước quốc tế đó.</w:t>
      </w:r>
    </w:p>
    <w:p w14:paraId="1AF3568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điều chỉnh giá hợp đồng xây dựng</w:t>
      </w:r>
    </w:p>
    <w:p w14:paraId="044A1DE2"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điều chỉnh giá hợp đồng xây dựng thực hiện theo Điều 34 của Nghị định số 48/2010/NĐ-CP ngày 07/5/2010 của Chính phủ về hợp đồng trong hoạt động xây dựng, cụ thể như sau:</w:t>
      </w:r>
    </w:p>
    <w:p w14:paraId="2A690F1D"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giá hợp đồng chỉ áp dụng trong thời gian thực hiện hợp đồng, bao gồm cả thời gian được gia hạn theo thoả thuận của hợp đồng.</w:t>
      </w:r>
    </w:p>
    <w:p w14:paraId="1B75A53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điều chỉnh giá hợp đồng xây dựng (giá hợp đồng sau điều chỉnh) không làm vượt tổng mức đầu tư được phê duyệt thì chủ đầu tư được quyền quyết định điều chỉnh, trường hợp vượt tổng mức đầu tư được phê duyệt thì phải báo cáo Người quyết định đầu tư cho phép.</w:t>
      </w:r>
    </w:p>
    <w:p w14:paraId="0B5065C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giá hợp đồng được áp dụng đối với hợp đồng theo đơn giá cố định, hợp đồng theo đơn giá điều chỉnh và hợp đồng theo thời gian.</w:t>
      </w:r>
    </w:p>
    <w:p w14:paraId="265E7178"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hợp đồng trọn gói và hợp đồng theo tỷ lệ (%), chỉ được điều chỉnh giá hợp đồng cho những khối lượng công việc bổ sung ngoài phạm vi công việc phải thực hiện theo hợp đồng đã ký kết.</w:t>
      </w:r>
    </w:p>
    <w:p w14:paraId="1033D613"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điều chỉnh giá hợp đồng phải được các bên thoả thuận và quy định cụ thể trong hợp đồng về các trường hợp được điều chỉnh giá hợp đồng, trình tự, phạm vi, phương pháp và căn cứ điều chỉnh giá hợp đồng.</w:t>
      </w:r>
    </w:p>
    <w:p w14:paraId="2FA84356"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điều chỉnh giá hợp đồng phải phù hợp với loại giá hợp đồng, tính chất công việc trong hợp đồng.</w:t>
      </w:r>
    </w:p>
    <w:p w14:paraId="652C0911"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trường hợp được điều chỉnh giá hợp đồng xây dựng</w:t>
      </w:r>
    </w:p>
    <w:p w14:paraId="6564AE4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hợp đồng trọn gói và hợp đồng theo tỷ lệ (%): Chỉ được điều chỉnh giá hợp đồng cho những khối lượng công việc bổ sung ngoài phạm vi công việc phải thực hiện theo hợp đồng đã ký kết, cụ thể:</w:t>
      </w:r>
    </w:p>
    <w:p w14:paraId="6280046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hợp đồng tư vấn, khối lượng công việc bổ sung ngoài phạm vi hợp đồng là những khối lượng nằm ngoài nhiệm vụ tư vấn phải thực hiện.</w:t>
      </w:r>
    </w:p>
    <w:p w14:paraId="6436FA34"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hợp đồng thi công xây dựng, khối lượng công việc bổ sung ngoài phạm vi hợp đồng là những khối lượng nằm ngoài phạm vi công việc phải thực hiện theo thiết kế.</w:t>
      </w:r>
    </w:p>
    <w:p w14:paraId="2C297B9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hợp đồng cung cấp thiết bị, khối lượng công việc bổ sung ngoài phạm vi hợp đồng là những danh mục thiết bị bổ sung nằm ngoài danh mục thuộc phạm vi hợp đồng đã ký kết ban đầu.</w:t>
      </w:r>
    </w:p>
    <w:p w14:paraId="4E778D33"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theo đơn giá cố định, hợp đồng theo thời gian:</w:t>
      </w:r>
    </w:p>
    <w:p w14:paraId="5B70B797"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khối lượng (hoặc thời gian) thực tế hoàn thành được nghiệm thu ít hơn hoặc nhiều hơn so với khối lượng (hoặc thời gian) trong hợp đồng đã ký thì thanh toán theo khối lượng hoặc thời gian hoàn thành thực tế được nghiệm thu.</w:t>
      </w:r>
    </w:p>
    <w:p w14:paraId="0E40027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giá nhiên liệu, vật tư, thiết bị do Nhà nước áp dụng biện pháp bình ổn giá theo quy định của Pháp lệnh giá có biến động bất thường hoặc khi Nhà nước thay đổi chính sách về thuế, </w:t>
      </w:r>
      <w:r>
        <w:rPr>
          <w:rFonts w:ascii="Arial" w:hAnsi="Arial" w:cs="Arial"/>
          <w:color w:val="000000"/>
          <w:sz w:val="21"/>
          <w:szCs w:val="21"/>
        </w:rPr>
        <w:lastRenderedPageBreak/>
        <w:t>tiền lương ảnh hưởng trực tiếp đến giá hợp đồng thì được điều chỉnh đơn giá nếu được phép của cấp quyết định đầu tư và các bên có thoả thuận trong hợp đồng.</w:t>
      </w:r>
    </w:p>
    <w:p w14:paraId="48AA295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hợp đồng theo đơn giá điều chỉnh:</w:t>
      </w:r>
    </w:p>
    <w:p w14:paraId="4301310B"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khối lượng thực tế hoàn thành được nghiệm thu ít hơn hoặc nhiều hơn so với khối lượng trong hợp đồng đã ký thì thanh toán theo khối lượng hoàn thành thực tế được nghiệm thu.</w:t>
      </w:r>
    </w:p>
    <w:p w14:paraId="1FC35A8D"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thời điểm ký hợp đồng, các bên thoả thuận sẽ điều chỉnh lại đơn giá cho những khối lượng công việc được điều chỉnh giá do trượt giá sau một khoảng thời gian nhất định kể từ ngày hợp đồng có hiệu lực.</w:t>
      </w:r>
    </w:p>
    <w:p w14:paraId="247587C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đặc biệt: Do yêu cầu khẩn cấp cần khắc phục các hậu quả về thiên tai hoặc trường hợp do yêu cầu về tiến độ tại thời điểm ký kết hợp đồng chưa đủ điều kiện để xác định giá hợp đồng và được phép của Thủ tướng Chính phủ.</w:t>
      </w:r>
    </w:p>
    <w:p w14:paraId="4BE590E3"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0F440E3"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PHÁP ĐIỀU CHỈNH GIÁ HỢP ĐỒNG XÂY DỰNG</w:t>
      </w:r>
    </w:p>
    <w:p w14:paraId="756A17E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Phương pháp điều chỉnh giá hợp đồng xây dựng đối với hợp đồng trọn gói, hợp đồng theo tỷ lệ (%)</w:t>
      </w:r>
    </w:p>
    <w:p w14:paraId="02251301"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hợp đồng trọn gói: Khi có khối lượng công việc bổ sung ngoài phạm vi hợp đồng đã ký thì các bên phải lập phụ lục hợp đồng bổ sung, trong đó cần xác định rõ về khối lượng công việc bổ sung và đơn giá áp dụng.</w:t>
      </w:r>
    </w:p>
    <w:p w14:paraId="6356C57C"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công việc bổ sung chưa có đơn giá trong hợp đồng, thì các bên tham gia hợp đồng phải thống nhất đơn giá để thực hiện khối lượng công việc này trước khi thực hiện. Đối với các công việc phát sinh đã có đơn giá trong hợp đồng thì áp dụng đơn giá trong hợp đồng đã ký.</w:t>
      </w:r>
    </w:p>
    <w:p w14:paraId="12E301C4"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đơn giá mới theo nguyên tắc thoả thuận trong hợp đồng về đơn giá cho khối lượng công việc phát sinh. Đơn giá mới được xác định theo Thông tư hướng dẫn về lập và quản lý chi phí đầu tư xây dựng công trình của Bộ Xây dựng và các thoả thuận trong hợp đồng.</w:t>
      </w:r>
    </w:p>
    <w:p w14:paraId="29C76CE8"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theo tỷ lệ (%): Khi có khối lượng công việc bổ sung ngoài phạm vi hợp đồng đã ký thì các bên phải lập phụ lục hợp đồng bổ sung, trong đó cần xác định rõ về khối lượng công việc bổ sung và đơn giá áp dụng.</w:t>
      </w:r>
    </w:p>
    <w:p w14:paraId="62A9DCAB"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hợp đồng bổ sung sẽ bằng tỷ lệ (%) như đã quy định trong hợp đồng nhân với giá trị khối lượng công việc bổ sung.</w:t>
      </w:r>
    </w:p>
    <w:p w14:paraId="2983648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pháp điều chỉnh giá hợp đồng đối với hợp đồng theo đơn giá cố định</w:t>
      </w:r>
    </w:p>
    <w:p w14:paraId="30B4C27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khối lượng công việc phát sinh lớn hơn 20% khối lượng công việc tương ứng ghi trong hợp đồng hoặc khối lượng công việc phát sinh chưa có đơn giá trong hợp đồng thì các bên thống nhất xác định đơn giá mới theo nguyên tắc thoả thuận trong hợp đồng về đơn giá cho khối lượng công việc phát sinh. Đơn giá mới được xác định theo Thông tư hướng dẫn về lập và quản lý chi phí đầu tư xây dựng công trình của Bộ Xây dựng và các thoả thuận trong hợp đồng.</w:t>
      </w:r>
    </w:p>
    <w:p w14:paraId="21965D1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khối lượng công việc phát sinh nhỏ hơn hoặc bằng 20% khối lượng công việc tương ứng ghi trong hợp đồng thì áp dụng đơn giá trong hợp đồng, kể cả đơn giá đã được điều chỉnh theo thoả thuận của hợp đồng (nếu có ).</w:t>
      </w:r>
    </w:p>
    <w:p w14:paraId="207E758E"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giá nhiên liệu, vật tư, thiết bị do Nhà nước áp dụng biện pháp bình ổn giá theo quy định của Pháp lệnh giá có biến động bất thường hoặc khi Nhà nước thay đổi chính sách về thuế, tiền lương ảnh hưởng trực tiếp đến giá hợp đồng và được phép của cấp quyết định đầu tư và các bên có thoả thuận trong hợp đồng thì các bên phải lập dự toán bổ sung và phụ lục hợp đồng bổ sung. Dự toán bổ sung được lập theo Thông tư hướng dẫn về lập và quản lý chi phí đầu tư xây dựng công trình của Bộ Xây dựng và các thoả thuận trong hợp đồng.</w:t>
      </w:r>
    </w:p>
    <w:p w14:paraId="2E708A86"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Phương pháp điều chỉnh giá hợp đồng đối với hợp đồng theo thời gian</w:t>
      </w:r>
    </w:p>
    <w:p w14:paraId="2E7F0A87"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giá nhiên liệu, vật tư, thiết bị do Nhà nước áp dụng biện pháp bình ổn giá theo quy định của Pháp lệnh giá có biến động bất thường hoặc khi Nhà nước thay đổi chính sách về thuế, tiền lương ảnh hưởng trực tiếp đến giá hợp đồng và được phép của cấp quyết định đầu tư, đồng thời các bên có thoả thuận trong hợp đồng thì các bên phải lập phụ lục hợp đồng bổ sung trong đó cần xác định rõ đơn giá mới sau khi điều chỉnh. Việc xác định đơn giá mới được thực hiện theo nguyên tắc thoả thuận trong hợp đồng.</w:t>
      </w:r>
    </w:p>
    <w:p w14:paraId="5AC39A5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Phương pháp điều chỉnh giá hợp đồng đối với hợp đồng theo đơn giá điều chỉnh</w:t>
      </w:r>
    </w:p>
    <w:p w14:paraId="1D049F0D"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giá hợp đồng theo phương pháp dùng hệ số điều chỉnh giá</w:t>
      </w:r>
    </w:p>
    <w:p w14:paraId="555665F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giá hợp đồng được thực hiện theo công thức sau:</w:t>
      </w:r>
    </w:p>
    <w:p w14:paraId="6E9300C2"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w:t>
      </w:r>
      <w:r>
        <w:rPr>
          <w:rStyle w:val="Strong"/>
          <w:rFonts w:ascii="Arial" w:hAnsi="Arial" w:cs="Arial"/>
          <w:color w:val="000000"/>
          <w:sz w:val="21"/>
          <w:szCs w:val="21"/>
          <w:vertAlign w:val="subscript"/>
        </w:rPr>
        <w:t>TT</w:t>
      </w:r>
      <w:r>
        <w:rPr>
          <w:rStyle w:val="Strong"/>
          <w:rFonts w:ascii="Arial" w:hAnsi="Arial" w:cs="Arial"/>
          <w:color w:val="000000"/>
          <w:sz w:val="21"/>
          <w:szCs w:val="21"/>
        </w:rPr>
        <w:t> = G</w:t>
      </w:r>
      <w:r>
        <w:rPr>
          <w:rStyle w:val="Strong"/>
          <w:rFonts w:ascii="Arial" w:hAnsi="Arial" w:cs="Arial"/>
          <w:color w:val="000000"/>
          <w:sz w:val="21"/>
          <w:szCs w:val="21"/>
          <w:vertAlign w:val="subscript"/>
        </w:rPr>
        <w:t>HĐ</w:t>
      </w:r>
      <w:r>
        <w:rPr>
          <w:rStyle w:val="Strong"/>
          <w:rFonts w:ascii="Arial" w:hAnsi="Arial" w:cs="Arial"/>
          <w:color w:val="000000"/>
          <w:sz w:val="21"/>
          <w:szCs w:val="21"/>
        </w:rPr>
        <w:t> x P</w:t>
      </w:r>
      <w:r>
        <w:rPr>
          <w:rStyle w:val="Strong"/>
          <w:rFonts w:ascii="Arial" w:hAnsi="Arial" w:cs="Arial"/>
          <w:color w:val="000000"/>
          <w:sz w:val="21"/>
          <w:szCs w:val="21"/>
          <w:vertAlign w:val="subscript"/>
        </w:rPr>
        <w:t>n</w:t>
      </w:r>
      <w:r>
        <w:rPr>
          <w:rStyle w:val="Strong"/>
          <w:rFonts w:ascii="Arial" w:hAnsi="Arial" w:cs="Arial"/>
          <w:color w:val="000000"/>
          <w:sz w:val="21"/>
          <w:szCs w:val="21"/>
        </w:rPr>
        <w:t>               (1)</w:t>
      </w:r>
    </w:p>
    <w:p w14:paraId="1891039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E44A908"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w:t>
      </w:r>
      <w:r>
        <w:rPr>
          <w:rFonts w:ascii="Arial" w:hAnsi="Arial" w:cs="Arial"/>
          <w:color w:val="000000"/>
          <w:sz w:val="21"/>
          <w:szCs w:val="21"/>
          <w:vertAlign w:val="subscript"/>
        </w:rPr>
        <w:t>TT</w:t>
      </w:r>
      <w:r>
        <w:rPr>
          <w:rFonts w:ascii="Arial" w:hAnsi="Arial" w:cs="Arial"/>
          <w:color w:val="000000"/>
          <w:sz w:val="21"/>
          <w:szCs w:val="21"/>
        </w:rPr>
        <w:t>: Là giá thanh toán tương ứng với khối lượng công việc hoàn thành được nghiệm thu trong khoảng thời gian “n”. “G</w:t>
      </w:r>
      <w:r>
        <w:rPr>
          <w:rFonts w:ascii="Arial" w:hAnsi="Arial" w:cs="Arial"/>
          <w:color w:val="000000"/>
          <w:sz w:val="21"/>
          <w:szCs w:val="21"/>
          <w:vertAlign w:val="subscript"/>
        </w:rPr>
        <w:t>TT</w:t>
      </w:r>
      <w:r>
        <w:rPr>
          <w:rFonts w:ascii="Arial" w:hAnsi="Arial" w:cs="Arial"/>
          <w:color w:val="000000"/>
          <w:sz w:val="21"/>
          <w:szCs w:val="21"/>
        </w:rPr>
        <w:t>” có thể là giá thanh toán cho cả hợp đồng, hoặc của hạng mục công trình, hoặc loại công việc, hoặc yếu tố chi phí trong hợp đồng.</w:t>
      </w:r>
    </w:p>
    <w:p w14:paraId="7B15493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w:t>
      </w:r>
      <w:r>
        <w:rPr>
          <w:rFonts w:ascii="Arial" w:hAnsi="Arial" w:cs="Arial"/>
          <w:color w:val="000000"/>
          <w:sz w:val="21"/>
          <w:szCs w:val="21"/>
          <w:vertAlign w:val="subscript"/>
        </w:rPr>
        <w:t>HĐ</w:t>
      </w:r>
      <w:r>
        <w:rPr>
          <w:rFonts w:ascii="Arial" w:hAnsi="Arial" w:cs="Arial"/>
          <w:color w:val="000000"/>
          <w:sz w:val="21"/>
          <w:szCs w:val="21"/>
        </w:rPr>
        <w:t> : Là giá trong hợp đồng đã ký tương ứng với các khối lượng công việc hoàn thành được nghiệm thu trong khoảng thời gian “n”. “G</w:t>
      </w:r>
      <w:r>
        <w:rPr>
          <w:rFonts w:ascii="Arial" w:hAnsi="Arial" w:cs="Arial"/>
          <w:color w:val="000000"/>
          <w:sz w:val="21"/>
          <w:szCs w:val="21"/>
          <w:vertAlign w:val="subscript"/>
        </w:rPr>
        <w:t>HĐ</w:t>
      </w:r>
      <w:r>
        <w:rPr>
          <w:rFonts w:ascii="Arial" w:hAnsi="Arial" w:cs="Arial"/>
          <w:color w:val="000000"/>
          <w:sz w:val="21"/>
          <w:szCs w:val="21"/>
        </w:rPr>
        <w:t>” có thể là giá trị của cả hợp đồng, hoặc của hạng mục công trình, hoặc loại công việc, hoặc yếu tố chi phí trong hợp đồng.</w:t>
      </w:r>
    </w:p>
    <w:p w14:paraId="7AA6640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w:t>
      </w:r>
      <w:r>
        <w:rPr>
          <w:rFonts w:ascii="Arial" w:hAnsi="Arial" w:cs="Arial"/>
          <w:color w:val="000000"/>
          <w:sz w:val="21"/>
          <w:szCs w:val="21"/>
          <w:vertAlign w:val="subscript"/>
        </w:rPr>
        <w:t>n</w:t>
      </w:r>
      <w:r>
        <w:rPr>
          <w:rFonts w:ascii="Arial" w:hAnsi="Arial" w:cs="Arial"/>
          <w:color w:val="000000"/>
          <w:sz w:val="21"/>
          <w:szCs w:val="21"/>
        </w:rPr>
        <w:t>: Là hệ số điều chỉnh giá (tăng hoặc giảm) được áp dụng cho thanh toán hợp đồng đối với các khối lượng công việc hoàn thành được nghiệm thu trong khoảng thời gian “n”.</w:t>
      </w:r>
    </w:p>
    <w:p w14:paraId="5C58181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“Pn” được xác định tương ứng và phù hợp với giá thanh toán “G</w:t>
      </w:r>
      <w:r>
        <w:rPr>
          <w:rFonts w:ascii="Arial" w:hAnsi="Arial" w:cs="Arial"/>
          <w:color w:val="000000"/>
          <w:sz w:val="21"/>
          <w:szCs w:val="21"/>
          <w:vertAlign w:val="subscript"/>
        </w:rPr>
        <w:t>TT</w:t>
      </w:r>
      <w:r>
        <w:rPr>
          <w:rFonts w:ascii="Arial" w:hAnsi="Arial" w:cs="Arial"/>
          <w:color w:val="000000"/>
          <w:sz w:val="21"/>
          <w:szCs w:val="21"/>
        </w:rPr>
        <w:t>”, cụ thể:</w:t>
      </w:r>
    </w:p>
    <w:p w14:paraId="3AA00E9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w:t>
      </w:r>
      <w:r>
        <w:rPr>
          <w:rFonts w:ascii="Arial" w:hAnsi="Arial" w:cs="Arial"/>
          <w:color w:val="000000"/>
          <w:sz w:val="21"/>
          <w:szCs w:val="21"/>
          <w:vertAlign w:val="subscript"/>
        </w:rPr>
        <w:t>TT</w:t>
      </w:r>
      <w:r>
        <w:rPr>
          <w:rFonts w:ascii="Arial" w:hAnsi="Arial" w:cs="Arial"/>
          <w:color w:val="000000"/>
          <w:sz w:val="21"/>
          <w:szCs w:val="21"/>
        </w:rPr>
        <w:t>” là giá thanh toán của cả hợp đồng tại thời điểm “n”, thì “P</w:t>
      </w:r>
      <w:r>
        <w:rPr>
          <w:rFonts w:ascii="Arial" w:hAnsi="Arial" w:cs="Arial"/>
          <w:color w:val="000000"/>
          <w:sz w:val="21"/>
          <w:szCs w:val="21"/>
          <w:vertAlign w:val="subscript"/>
        </w:rPr>
        <w:t>n</w:t>
      </w:r>
      <w:r>
        <w:rPr>
          <w:rFonts w:ascii="Arial" w:hAnsi="Arial" w:cs="Arial"/>
          <w:color w:val="000000"/>
          <w:sz w:val="21"/>
          <w:szCs w:val="21"/>
        </w:rPr>
        <w:t>” là hệ số điều chỉnh giá được xác định cho cả hợp đồng tương ứng trong khoảng thời gian “n”.</w:t>
      </w:r>
    </w:p>
    <w:p w14:paraId="295C2BC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w:t>
      </w:r>
      <w:r>
        <w:rPr>
          <w:rFonts w:ascii="Arial" w:hAnsi="Arial" w:cs="Arial"/>
          <w:color w:val="000000"/>
          <w:sz w:val="21"/>
          <w:szCs w:val="21"/>
          <w:vertAlign w:val="subscript"/>
        </w:rPr>
        <w:t>TT</w:t>
      </w:r>
      <w:r>
        <w:rPr>
          <w:rFonts w:ascii="Arial" w:hAnsi="Arial" w:cs="Arial"/>
          <w:color w:val="000000"/>
          <w:sz w:val="21"/>
          <w:szCs w:val="21"/>
        </w:rPr>
        <w:t> ” là giá thanh toán cho hạng mục công trình trong hợp đồng tại thời điểm “n”, thì “P</w:t>
      </w:r>
      <w:r>
        <w:rPr>
          <w:rFonts w:ascii="Arial" w:hAnsi="Arial" w:cs="Arial"/>
          <w:color w:val="000000"/>
          <w:sz w:val="21"/>
          <w:szCs w:val="21"/>
          <w:vertAlign w:val="subscript"/>
        </w:rPr>
        <w:t>n</w:t>
      </w:r>
      <w:r>
        <w:rPr>
          <w:rFonts w:ascii="Arial" w:hAnsi="Arial" w:cs="Arial"/>
          <w:color w:val="000000"/>
          <w:sz w:val="21"/>
          <w:szCs w:val="21"/>
        </w:rPr>
        <w:t>” là hệ số điều chỉnh giá được xác định cho hạng mục công trình tương ứng trong hợp đồng trong khoảng thời gian “n”.</w:t>
      </w:r>
    </w:p>
    <w:p w14:paraId="5007DC8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w:t>
      </w:r>
      <w:r>
        <w:rPr>
          <w:rFonts w:ascii="Arial" w:hAnsi="Arial" w:cs="Arial"/>
          <w:color w:val="000000"/>
          <w:sz w:val="21"/>
          <w:szCs w:val="21"/>
          <w:vertAlign w:val="subscript"/>
        </w:rPr>
        <w:t>TT</w:t>
      </w:r>
      <w:r>
        <w:rPr>
          <w:rFonts w:ascii="Arial" w:hAnsi="Arial" w:cs="Arial"/>
          <w:color w:val="000000"/>
          <w:sz w:val="21"/>
          <w:szCs w:val="21"/>
        </w:rPr>
        <w:t>” là giá thanh toán cho loại công việc hoặc yếu tố chi phí trong hợp đồng tại thời điểm “n”, thì “P</w:t>
      </w:r>
      <w:r>
        <w:rPr>
          <w:rFonts w:ascii="Arial" w:hAnsi="Arial" w:cs="Arial"/>
          <w:color w:val="000000"/>
          <w:sz w:val="21"/>
          <w:szCs w:val="21"/>
          <w:vertAlign w:val="subscript"/>
        </w:rPr>
        <w:t>n</w:t>
      </w:r>
      <w:r>
        <w:rPr>
          <w:rFonts w:ascii="Arial" w:hAnsi="Arial" w:cs="Arial"/>
          <w:color w:val="000000"/>
          <w:sz w:val="21"/>
          <w:szCs w:val="21"/>
        </w:rPr>
        <w:t>” là hệ số điều chỉnh giá được xác định cho loại công việc hoặc yếu tố chi phí tương ứng trong hợp đồng trong khoảng thời gian “n”.</w:t>
      </w:r>
    </w:p>
    <w:p w14:paraId="58A467E8"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điều chỉnh giá hợp đồng theo công thức (1) thì cơ sở dữ liệu đầu vào để tính toán điều chỉnh giá phải phù hợp với nội dung công việc trong hợp đồng. Trong hợp đồng phải quy định việc sử dụng nguồn thông tin về giá hoặc nguồn chỉ số giá của các cơ quan nhà nước có thẩm quyền để điều chỉnh giá hợp đồng.</w:t>
      </w:r>
    </w:p>
    <w:p w14:paraId="36331DF4"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“Pn” được xác định và áp dụng đối với một số trường hợp cụ thể sau:</w:t>
      </w:r>
    </w:p>
    <w:p w14:paraId="6210D7FB"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điều chỉnh cho tất cả các yếu tố chi phí (điều chỉnh cả vật liệu, nhân công, máy thi công), hệ số “Pn” được xác định như sau:</w:t>
      </w:r>
    </w:p>
    <w:p w14:paraId="3B3A96D2" w14:textId="52E4AF51"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"https://cdn.luatminhkhue.vn/lmk/article/2023/A%CC%89nh%20chu%CC%A3p%20Ma%CC%80n%20hi%CC%80nh%202025-01-10%20lu%CC%81c%2021_15_04.png"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94D1910" wp14:editId="2583F898">
            <wp:extent cx="295910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0" cy="9525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(2)</w:t>
      </w:r>
    </w:p>
    <w:p w14:paraId="51B8B993"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6B41A97"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Là hệ số cố định, được xác định trong bảng số liệu điều chỉnh tương ứng trong hợp đồng, thể hiện phần không điều chỉnh giá của các khoản thanh toán theo hợp đồng (hoặc theo hạng mục, hoặc công việc, hoặc yếu tố chi phí trong hợp đồng).</w:t>
      </w:r>
    </w:p>
    <w:p w14:paraId="366CD2B2"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 c, d… : Là các hệ số biểu thị tỷ lệ (tỷ trọng) của các yếu tố chi phí liên quan đến việc thực hiện công việc trong hợp đồng (chi phí nhân công, chi phí máy thi công, chi phí vật liệu,…) được nêu trong bảng số liệu điều chỉnh tương ứng.</w:t>
      </w:r>
    </w:p>
    <w:p w14:paraId="07DBC737"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Tuỳ từng trường hợp điều chỉnh (cho cả hợp đồng, hoặc hạng mục công trình, hoặc công việc) để xác định các hệ số a, b, c, d…tương ứng cho phù hợp. Các hệ số a, b, c, d… do các bên tính toán, xác định và thoả thuận trong hợp đồng.</w:t>
      </w:r>
    </w:p>
    <w:p w14:paraId="15764693"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hệ số: a+b+c+d+… = 1</w:t>
      </w:r>
    </w:p>
    <w:p w14:paraId="757E34B7"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Ln, En, Mn,…: Là các chỉ số giá hoặc giá hiện hành tương ứng với mỗi loại chi phí (chi phí nhân công, chi phí máy thi công, chi phí vật liệu,…) cho thời gian “n”, được xác định trong khoảng thời gian 28 ngày trước ngày hết hạn nộp hồ sơ thanh toán quy định trong hợp đồng.</w:t>
      </w:r>
    </w:p>
    <w:p w14:paraId="05B93CFB"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 Eo, Mo,…: Là các chỉ số giá hoặc giá gốc tương ứng với mỗi loại chi phí (chi phí nhân công, chi phí máy thi công, chi phí vật liệu,…), được xác định trong khoảng thời gian 28 ngày trước ngày đóng thầu.</w:t>
      </w:r>
    </w:p>
    <w:p w14:paraId="2E651D43"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hệ số a, b, c, d,… và các chỉ số Lo, Eo, Mo,… phải được xác định trong hồ sơ hợp đồng.</w:t>
      </w:r>
    </w:p>
    <w:p w14:paraId="78205007"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mà tiền tệ của chỉ số giá hoặc giá điều chỉnh (được nêu trong bảng) không phải là tiền tệ thanh toán tương ứng, thì sẽ được chuyển đổi sang tiền tệ thanh toán tương ứng theo tỷ giá bán ra do ngân hàng Nhà nước Việt Nam ấn định vào ngày mà chỉ số giá hoặc giá sẽ được yêu cầu áp dụng.</w:t>
      </w:r>
    </w:p>
    <w:p w14:paraId="0AAB21B2"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nhận thầu không hoàn thành công việc trong khoảng thời gian quy định trong hợp đồng do nguyên nhân chủ quan của nhà thầu thì việc điều chỉnh giá sẽ được thực hiện dựa trên mỗi chỉ số giá hoặc giá được áp dụng trong khoảng thời gian 28 ngày trước ngày hết hạn nộp hồ sơ thanh toán theo thời gian quy định trong hợp đồng hoặc thời điểm thực hiện công việc do bên giao thầu quyết định.</w:t>
      </w:r>
    </w:p>
    <w:p w14:paraId="62385499"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điều chỉnh cho 2 yếu tố chi phí, hệ số “Pn” được xác định như sau:</w:t>
      </w:r>
    </w:p>
    <w:p w14:paraId="26124E7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chi phí vật liệu và nhân công:</w:t>
      </w:r>
    </w:p>
    <w:p w14:paraId="275A1A9B" w14:textId="452BD50E"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"https://cdn.luatminhkhue.vn/lmk/article/2023/A%CC%89nh%20chu%CC%A3p%20Ma%CC%80n%20hi%CC%80nh%202025-01-10%20lu%CC%81c%2021_15_49.png"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DC734F5" wp14:editId="100905AF">
            <wp:extent cx="2730500" cy="109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0" cy="10922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(3)</w:t>
      </w:r>
    </w:p>
    <w:p w14:paraId="46BB763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đại lượng a, b, d, Ln, Lo, Mn, Mo xác định như trong công thức (2)</w:t>
      </w:r>
    </w:p>
    <w:p w14:paraId="20B1ED06"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các hệ số: a + b + d =1</w:t>
      </w:r>
    </w:p>
    <w:p w14:paraId="64DED3FF"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chi phí vật liệu và máy:</w:t>
      </w:r>
    </w:p>
    <w:p w14:paraId="5377CF27" w14:textId="3666A110"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"https://cdn.luatminhkhue.vn/lmk/article/2023/A%CC%89nh%20chu%CC%A3p%20Ma%CC%80n%20hi%CC%80nh%202025-01-10%20lu%CC%81c%2021_16_13.png"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E47730C" wp14:editId="4D3647A0">
            <wp:extent cx="2946400" cy="1231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0" cy="1231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(4)</w:t>
      </w:r>
    </w:p>
    <w:p w14:paraId="3652EC2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đại lượng a, c, d, En, Eo, Mn, Mo xác định như trong công thức (2)</w:t>
      </w:r>
    </w:p>
    <w:p w14:paraId="2639631D"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hệ số: a + c + d =1</w:t>
      </w:r>
    </w:p>
    <w:p w14:paraId="029C211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chi phí nhân công và máy:</w:t>
      </w:r>
    </w:p>
    <w:p w14:paraId="3AAD07E7" w14:textId="35B683A4"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"https://cdn.luatminhkhue.vn/lmk/article/2023/A%CC%89nh%20chu%CC%A3p%20Ma%CC%80n%20hi%CC%80nh%202025-01-10%20lu%CC%81c%2021_16_39.png"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615573F" wp14:editId="1577F31E">
            <wp:extent cx="2362200" cy="88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8890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(5)</w:t>
      </w:r>
    </w:p>
    <w:p w14:paraId="1B14FF64"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đại lượng a, b, c, Ln, Lo, En, Eo xác định như trong công thức (2)</w:t>
      </w:r>
    </w:p>
    <w:p w14:paraId="0F965AF9"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hệ số: a + b + c =1</w:t>
      </w:r>
    </w:p>
    <w:p w14:paraId="162CCC6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điều chỉnh cho 1 yếu tố chi phí:</w:t>
      </w:r>
    </w:p>
    <w:p w14:paraId="4FAABCB3"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điều chỉnh giá cho một yếu tố chi phí trong hợp đồng (như chỉ điều chỉnh chi phí nhân công hoặc chi phí máy thi công hoặc chi phí vật liệu hoặc cho một số loại vật liệu chủ yếu…), hệ số “Pn” được xác định như sau:</w:t>
      </w:r>
    </w:p>
    <w:p w14:paraId="6415EFB9"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chi phí nhân công:</w:t>
      </w:r>
    </w:p>
    <w:p w14:paraId="389A7E19" w14:textId="21E15A54"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"https://cdn.luatminhkhue.vn/lmk/article/2023/A%CC%89nh%20chu%CC%A3p%20Ma%CC%80n%20hi%CC%80nh%202025-01-10%20lu%CC%81c%2021_17_23.png"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BC0D517" wp14:editId="00E30FCA">
            <wp:extent cx="1917700" cy="965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700" cy="9652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(6)</w:t>
      </w:r>
    </w:p>
    <w:p w14:paraId="19E4628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đại lượng a, b, Ln, Lo xác định như trong công thức (2)</w:t>
      </w:r>
    </w:p>
    <w:p w14:paraId="69A44F32"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hệ số: a + b =1</w:t>
      </w:r>
    </w:p>
    <w:p w14:paraId="5F7F2AEC"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Điều chỉnh chi phí máy thi công:</w:t>
      </w:r>
    </w:p>
    <w:p w14:paraId="2C9E7FF2" w14:textId="4E939848"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"https://cdn.luatminhkhue.vn/lmk/article/2023/A%CC%89nh%20chu%CC%A3p%20Ma%CC%80n%20hi%CC%80nh%202025-01-10%20lu%CC%81c%2021_17_49.png"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FBBBEF3" wp14:editId="42B255D5">
            <wp:extent cx="2095500" cy="113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1303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(7)</w:t>
      </w:r>
    </w:p>
    <w:p w14:paraId="579F231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đại lượng a, c, En, Eo xác định như trong công thức (2)</w:t>
      </w:r>
    </w:p>
    <w:p w14:paraId="0F11B10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hệ số: a + c =1</w:t>
      </w:r>
    </w:p>
    <w:p w14:paraId="34C014B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chi phí vật liệu:</w:t>
      </w:r>
    </w:p>
    <w:p w14:paraId="47E73713" w14:textId="1F269DDA"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"https://cdn.luatminhkhue.vn/lmk/article/2023/A%CC%89nh%20chu%CC%A3p%20Ma%CC%80n%20hi%CC%80nh%202025-01-10%20lu%CC%81c%2021_18_16.png"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0996A30" wp14:editId="058A2128">
            <wp:extent cx="23241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4100" cy="10668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(8)</w:t>
      </w:r>
    </w:p>
    <w:p w14:paraId="0C38AD2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đại lượng a, d, Mn, Mo xác định như trong công thức (2)</w:t>
      </w:r>
    </w:p>
    <w:p w14:paraId="755724B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hệ số: a + d =1</w:t>
      </w:r>
    </w:p>
    <w:p w14:paraId="2B28EDEE"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điều chỉnh giá cho một số loại vật liệu chủ yếu:</w:t>
      </w:r>
    </w:p>
    <w:p w14:paraId="5C3C8EC3" w14:textId="689A5042"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"https://cdn.luatminhkhue.vn/lmk/article/2023/A%CC%89nh%20chu%CC%A3p%20Ma%CC%80n%20hi%CC%80nh%202025-01-10%20lu%CC%81c%2021_18_42.png"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88B7B38" wp14:editId="2D0309C3">
            <wp:extent cx="4051300" cy="115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1300" cy="11557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(9)</w:t>
      </w:r>
    </w:p>
    <w:p w14:paraId="1A3DBDBD"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lượng “a” xác định như trong công thức (2)</w:t>
      </w:r>
    </w:p>
    <w:p w14:paraId="4DA4A88B"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w:t>
      </w:r>
      <w:r>
        <w:rPr>
          <w:rFonts w:ascii="Arial" w:hAnsi="Arial" w:cs="Arial"/>
          <w:color w:val="000000"/>
          <w:sz w:val="21"/>
          <w:szCs w:val="21"/>
          <w:vertAlign w:val="subscript"/>
        </w:rPr>
        <w:t>1</w:t>
      </w:r>
      <w:r>
        <w:rPr>
          <w:rFonts w:ascii="Arial" w:hAnsi="Arial" w:cs="Arial"/>
          <w:color w:val="000000"/>
          <w:sz w:val="21"/>
          <w:szCs w:val="21"/>
        </w:rPr>
        <w:t>, d</w:t>
      </w:r>
      <w:r>
        <w:rPr>
          <w:rFonts w:ascii="Arial" w:hAnsi="Arial" w:cs="Arial"/>
          <w:color w:val="000000"/>
          <w:sz w:val="21"/>
          <w:szCs w:val="21"/>
          <w:vertAlign w:val="subscript"/>
        </w:rPr>
        <w:t>2</w:t>
      </w:r>
      <w:r>
        <w:rPr>
          <w:rFonts w:ascii="Arial" w:hAnsi="Arial" w:cs="Arial"/>
          <w:color w:val="000000"/>
          <w:sz w:val="21"/>
          <w:szCs w:val="21"/>
        </w:rPr>
        <w:t>, d</w:t>
      </w:r>
      <w:r>
        <w:rPr>
          <w:rFonts w:ascii="Arial" w:hAnsi="Arial" w:cs="Arial"/>
          <w:color w:val="000000"/>
          <w:sz w:val="21"/>
          <w:szCs w:val="21"/>
          <w:vertAlign w:val="subscript"/>
        </w:rPr>
        <w:t>3</w:t>
      </w:r>
      <w:r>
        <w:rPr>
          <w:rFonts w:ascii="Arial" w:hAnsi="Arial" w:cs="Arial"/>
          <w:color w:val="000000"/>
          <w:sz w:val="21"/>
          <w:szCs w:val="21"/>
        </w:rPr>
        <w:t> … là hệ số biểu thị tỷ lệ (tỷ trọng) chi phí của loại vật liệu chủ yếu được điều chỉnh giá trong hợp đồng.</w:t>
      </w:r>
    </w:p>
    <w:p w14:paraId="40E2AEC5"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Mn</w:t>
      </w:r>
      <w:r>
        <w:rPr>
          <w:rFonts w:ascii="Arial" w:hAnsi="Arial" w:cs="Arial"/>
          <w:color w:val="000000"/>
          <w:sz w:val="21"/>
          <w:szCs w:val="21"/>
          <w:vertAlign w:val="subscript"/>
        </w:rPr>
        <w:t>1</w:t>
      </w:r>
      <w:r>
        <w:rPr>
          <w:rFonts w:ascii="Arial" w:hAnsi="Arial" w:cs="Arial"/>
          <w:color w:val="000000"/>
          <w:sz w:val="21"/>
          <w:szCs w:val="21"/>
        </w:rPr>
        <w:t>, Mn</w:t>
      </w:r>
      <w:r>
        <w:rPr>
          <w:rFonts w:ascii="Arial" w:hAnsi="Arial" w:cs="Arial"/>
          <w:color w:val="000000"/>
          <w:sz w:val="21"/>
          <w:szCs w:val="21"/>
          <w:vertAlign w:val="subscript"/>
        </w:rPr>
        <w:t>2</w:t>
      </w:r>
      <w:r>
        <w:rPr>
          <w:rFonts w:ascii="Arial" w:hAnsi="Arial" w:cs="Arial"/>
          <w:color w:val="000000"/>
          <w:sz w:val="21"/>
          <w:szCs w:val="21"/>
        </w:rPr>
        <w:t>, Mn</w:t>
      </w:r>
      <w:r>
        <w:rPr>
          <w:rFonts w:ascii="Arial" w:hAnsi="Arial" w:cs="Arial"/>
          <w:color w:val="000000"/>
          <w:sz w:val="21"/>
          <w:szCs w:val="21"/>
          <w:vertAlign w:val="subscript"/>
        </w:rPr>
        <w:t>3</w:t>
      </w:r>
      <w:r>
        <w:rPr>
          <w:rFonts w:ascii="Arial" w:hAnsi="Arial" w:cs="Arial"/>
          <w:color w:val="000000"/>
          <w:sz w:val="21"/>
          <w:szCs w:val="21"/>
        </w:rPr>
        <w:t>, Mo</w:t>
      </w:r>
      <w:r>
        <w:rPr>
          <w:rFonts w:ascii="Arial" w:hAnsi="Arial" w:cs="Arial"/>
          <w:color w:val="000000"/>
          <w:sz w:val="21"/>
          <w:szCs w:val="21"/>
          <w:vertAlign w:val="subscript"/>
        </w:rPr>
        <w:t>1</w:t>
      </w:r>
      <w:r>
        <w:rPr>
          <w:rFonts w:ascii="Arial" w:hAnsi="Arial" w:cs="Arial"/>
          <w:color w:val="000000"/>
          <w:sz w:val="21"/>
          <w:szCs w:val="21"/>
        </w:rPr>
        <w:t>, Mo</w:t>
      </w:r>
      <w:r>
        <w:rPr>
          <w:rFonts w:ascii="Arial" w:hAnsi="Arial" w:cs="Arial"/>
          <w:color w:val="000000"/>
          <w:sz w:val="21"/>
          <w:szCs w:val="21"/>
          <w:vertAlign w:val="subscript"/>
        </w:rPr>
        <w:t>2</w:t>
      </w:r>
      <w:r>
        <w:rPr>
          <w:rFonts w:ascii="Arial" w:hAnsi="Arial" w:cs="Arial"/>
          <w:color w:val="000000"/>
          <w:sz w:val="21"/>
          <w:szCs w:val="21"/>
        </w:rPr>
        <w:t>, Mo</w:t>
      </w:r>
      <w:r>
        <w:rPr>
          <w:rFonts w:ascii="Arial" w:hAnsi="Arial" w:cs="Arial"/>
          <w:color w:val="000000"/>
          <w:sz w:val="21"/>
          <w:szCs w:val="21"/>
          <w:vertAlign w:val="subscript"/>
        </w:rPr>
        <w:t>3</w:t>
      </w:r>
      <w:r>
        <w:rPr>
          <w:rFonts w:ascii="Arial" w:hAnsi="Arial" w:cs="Arial"/>
          <w:color w:val="000000"/>
          <w:sz w:val="21"/>
          <w:szCs w:val="21"/>
        </w:rPr>
        <w:t>,… là các chỉ số giá hoặc giá của các loại vật liệu được điều chỉnh giá tại thời điểm “n “ và thời điểm gốc.</w:t>
      </w:r>
    </w:p>
    <w:p w14:paraId="53577FF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hệ số: a + d</w:t>
      </w:r>
      <w:r>
        <w:rPr>
          <w:rFonts w:ascii="Arial" w:hAnsi="Arial" w:cs="Arial"/>
          <w:color w:val="000000"/>
          <w:sz w:val="21"/>
          <w:szCs w:val="21"/>
          <w:vertAlign w:val="subscript"/>
        </w:rPr>
        <w:t>1</w:t>
      </w:r>
      <w:r>
        <w:rPr>
          <w:rFonts w:ascii="Arial" w:hAnsi="Arial" w:cs="Arial"/>
          <w:color w:val="000000"/>
          <w:sz w:val="21"/>
          <w:szCs w:val="21"/>
        </w:rPr>
        <w:t> + d</w:t>
      </w:r>
      <w:r>
        <w:rPr>
          <w:rFonts w:ascii="Arial" w:hAnsi="Arial" w:cs="Arial"/>
          <w:color w:val="000000"/>
          <w:sz w:val="21"/>
          <w:szCs w:val="21"/>
          <w:vertAlign w:val="subscript"/>
        </w:rPr>
        <w:t>2</w:t>
      </w:r>
      <w:r>
        <w:rPr>
          <w:rFonts w:ascii="Arial" w:hAnsi="Arial" w:cs="Arial"/>
          <w:color w:val="000000"/>
          <w:sz w:val="21"/>
          <w:szCs w:val="21"/>
        </w:rPr>
        <w:t> + d</w:t>
      </w:r>
      <w:r>
        <w:rPr>
          <w:rFonts w:ascii="Arial" w:hAnsi="Arial" w:cs="Arial"/>
          <w:color w:val="000000"/>
          <w:sz w:val="21"/>
          <w:szCs w:val="21"/>
          <w:vertAlign w:val="subscript"/>
        </w:rPr>
        <w:t>3</w:t>
      </w:r>
      <w:r>
        <w:rPr>
          <w:rFonts w:ascii="Arial" w:hAnsi="Arial" w:cs="Arial"/>
          <w:color w:val="000000"/>
          <w:sz w:val="21"/>
          <w:szCs w:val="21"/>
        </w:rPr>
        <w:t> +… = 1</w:t>
      </w:r>
    </w:p>
    <w:p w14:paraId="5ED56D7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thể sử dụng giá công bố của cơ quan có thẩm quyền tại địa phương hoặc các chỉ số giá xây dựng do Bộ Xây dựng, Tổng cục Thống kê công bố, nhưng sử dụng giá hoặc chỉ số giá nào để áp dụng cho hợp đồng thì các bên phải quy định cụ thể trong hợp đồng và phải phù hợp với nội dung, tính chất công việc trong hợp đồng.</w:t>
      </w:r>
    </w:p>
    <w:p w14:paraId="3CD456CD"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công trình đặc thù mà chưa có trong chỉ số giá xây dựng do Bộ Xây dựng công bố thì chủ đầu tư xác định hoặc thuê các tổ chức tư vấn có đủ điều kiện năng lực xác định chỉ số giá xây dựng cho công trình theo phương pháp hướng dẫn của Bộ Xây dựng để áp dụng điều chỉnh giá hợp đồng.</w:t>
      </w:r>
    </w:p>
    <w:p w14:paraId="3912CCA4"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giá hợp đồng theo phương pháp bù trừ trực tiếp:</w:t>
      </w:r>
    </w:p>
    <w:p w14:paraId="21418513"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phương pháp điều chỉnh giá hợp đồng nêu tại khoản 1 Điều này, đối với các hợp đồng xây dựng đơn giản có thể điều chỉnh giá hợp đồng theo phương pháp bù trừ trực tiếp.</w:t>
      </w:r>
    </w:p>
    <w:p w14:paraId="699AE70B"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69E7339" w14:textId="77777777" w:rsidR="00182F4E" w:rsidRDefault="00182F4E" w:rsidP="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7B756EE"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w:t>
      </w:r>
    </w:p>
    <w:p w14:paraId="0F8EC0CE"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hợp đồng xây dựng đã và đang thực hiện trước ngày Thông tư này có hiệu lực thì không bắt buộc thực hiện theo quy định tại Thông tư này. Các hợp đồng đang trong quá trình đàm phán, chưa được ký kết thì Người quyết định đầu tư quyết định việc áp dụng theo các quy định tại Thông tư này.</w:t>
      </w:r>
    </w:p>
    <w:p w14:paraId="7287583A"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Chủ tịch Uỷ ban nhân dân tỉnh, thành phố trực thuộc Trung ương, Hội đồng quản trị các Tổng công ty Nhà nước, các Tập đoàn kinh tế chịu trách nhiệm thực hiện Thông tư này.</w:t>
      </w:r>
    </w:p>
    <w:p w14:paraId="4D50AE84"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thi hành</w:t>
      </w:r>
    </w:p>
    <w:p w14:paraId="2B43EB20"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15 tháng 9 năm 2010 và thay thế Thông tư số </w:t>
      </w:r>
      <w:hyperlink r:id="rId18" w:tgtFrame="_blank" w:history="1">
        <w:r>
          <w:rPr>
            <w:rStyle w:val="Hyperlink"/>
            <w:rFonts w:ascii="Arial" w:hAnsi="Arial" w:cs="Arial"/>
            <w:color w:val="135ECD"/>
            <w:sz w:val="21"/>
            <w:szCs w:val="21"/>
          </w:rPr>
          <w:t>06/2007/TT-BXD </w:t>
        </w:r>
      </w:hyperlink>
      <w:r>
        <w:rPr>
          <w:rFonts w:ascii="Arial" w:hAnsi="Arial" w:cs="Arial"/>
          <w:color w:val="000000"/>
          <w:sz w:val="21"/>
          <w:szCs w:val="21"/>
        </w:rPr>
        <w:t>ngày 25/7/2007 của Bộ Xây dựng về hướng dẫn hợp đồng trong hoạt động xây dựng.</w:t>
      </w:r>
    </w:p>
    <w:p w14:paraId="679FF70D" w14:textId="77777777" w:rsidR="00182F4E" w:rsidRDefault="00182F4E" w:rsidP="00182F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đề nghị các tổ chức, cá nhân gửi ý kiến về Bộ Xây dựng để xem xét, giải quyết.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20"/>
        <w:gridCol w:w="4046"/>
      </w:tblGrid>
      <w:tr w:rsidR="00182F4E" w14:paraId="6BB2FD8A" w14:textId="77777777" w:rsidTr="00182F4E">
        <w:trPr>
          <w:tblCellSpacing w:w="0" w:type="dxa"/>
        </w:trPr>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5920C" w14:textId="77777777" w:rsidR="00182F4E" w:rsidRDefault="00182F4E">
            <w:pPr>
              <w:pStyle w:val="NormalWeb"/>
              <w:spacing w:after="90" w:afterAutospacing="0" w:line="345" w:lineRule="atLeast"/>
              <w:jc w:val="both"/>
              <w:rPr>
                <w:rFonts w:ascii="Arial" w:hAnsi="Arial" w:cs="Arial"/>
                <w:color w:val="000000"/>
                <w:sz w:val="21"/>
                <w:szCs w:val="21"/>
              </w:rPr>
            </w:pPr>
          </w:p>
          <w:p w14:paraId="6250DEE1" w14:textId="77777777" w:rsidR="00182F4E" w:rsidRDefault="00182F4E" w:rsidP="00182F4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PTT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Tập đoàn kinh tế, Tổng công ty Nhà nước;</w:t>
            </w:r>
            <w:r>
              <w:rPr>
                <w:rFonts w:ascii="Arial" w:hAnsi="Arial" w:cs="Arial"/>
                <w:color w:val="000000"/>
                <w:sz w:val="21"/>
                <w:szCs w:val="21"/>
              </w:rPr>
              <w:br/>
              <w:t>- Cơ quan Trung ương của các đoàn thể;</w:t>
            </w:r>
            <w:r>
              <w:rPr>
                <w:rFonts w:ascii="Arial" w:hAnsi="Arial" w:cs="Arial"/>
                <w:color w:val="000000"/>
                <w:sz w:val="21"/>
                <w:szCs w:val="21"/>
              </w:rPr>
              <w:br/>
              <w:t>- Cục kiểm tra văn bản – Bộ Tư pháp;</w:t>
            </w:r>
            <w:r>
              <w:rPr>
                <w:rFonts w:ascii="Arial" w:hAnsi="Arial" w:cs="Arial"/>
                <w:color w:val="000000"/>
                <w:sz w:val="21"/>
                <w:szCs w:val="21"/>
              </w:rPr>
              <w:br/>
              <w:t>- Sở Xây dựng các tỉnh, thành phố trực thuộc TW;</w:t>
            </w:r>
            <w:r>
              <w:rPr>
                <w:rFonts w:ascii="Arial" w:hAnsi="Arial" w:cs="Arial"/>
                <w:color w:val="000000"/>
                <w:sz w:val="21"/>
                <w:szCs w:val="21"/>
              </w:rPr>
              <w:br/>
              <w:t>- Công báo, Website của Chính phủ;</w:t>
            </w:r>
            <w:r>
              <w:rPr>
                <w:rFonts w:ascii="Arial" w:hAnsi="Arial" w:cs="Arial"/>
                <w:color w:val="000000"/>
                <w:sz w:val="21"/>
                <w:szCs w:val="21"/>
              </w:rPr>
              <w:br/>
              <w:t>- Bộ XD: Các Cục, Vụ, Viện, Văn phòng, Thanh tra XD;</w:t>
            </w:r>
            <w:r>
              <w:rPr>
                <w:rFonts w:ascii="Arial" w:hAnsi="Arial" w:cs="Arial"/>
                <w:color w:val="000000"/>
                <w:sz w:val="21"/>
                <w:szCs w:val="21"/>
              </w:rPr>
              <w:br/>
              <w:t>- Lưu: VP, PC, Viện KTXD, Vụ KTXD, Nh 300.</w:t>
            </w:r>
          </w:p>
        </w:tc>
        <w:tc>
          <w:tcPr>
            <w:tcW w:w="41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335C7" w14:textId="77777777" w:rsidR="00182F4E" w:rsidRDefault="00182F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Trần Văn Sơn</w:t>
            </w:r>
          </w:p>
        </w:tc>
      </w:tr>
    </w:tbl>
    <w:p w14:paraId="57B992D3" w14:textId="02E18E37" w:rsidR="00E84537" w:rsidRPr="00182F4E" w:rsidRDefault="00E84537" w:rsidP="00182F4E"/>
    <w:sectPr w:rsidR="00E84537" w:rsidRPr="00182F4E" w:rsidSect="002A4574">
      <w:headerReference w:type="default" r:id="rId19"/>
      <w:footerReference w:type="even" r:id="rId20"/>
      <w:footerReference w:type="default" r:id="rId21"/>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EF447" w14:textId="77777777" w:rsidR="004532C6" w:rsidRDefault="004532C6" w:rsidP="006C1190">
      <w:r>
        <w:separator/>
      </w:r>
    </w:p>
  </w:endnote>
  <w:endnote w:type="continuationSeparator" w:id="0">
    <w:p w14:paraId="22E6124F" w14:textId="77777777" w:rsidR="004532C6" w:rsidRDefault="004532C6"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92CA3" w14:textId="77777777" w:rsidR="004532C6" w:rsidRDefault="004532C6" w:rsidP="006C1190">
      <w:r>
        <w:separator/>
      </w:r>
    </w:p>
  </w:footnote>
  <w:footnote w:type="continuationSeparator" w:id="0">
    <w:p w14:paraId="55F4C332" w14:textId="77777777" w:rsidR="004532C6" w:rsidRDefault="004532C6"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2AC"/>
    <w:rsid w:val="001128EA"/>
    <w:rsid w:val="00151E86"/>
    <w:rsid w:val="00182F4E"/>
    <w:rsid w:val="001D3DF4"/>
    <w:rsid w:val="00260B56"/>
    <w:rsid w:val="002935B6"/>
    <w:rsid w:val="002F370D"/>
    <w:rsid w:val="003157B3"/>
    <w:rsid w:val="0033252B"/>
    <w:rsid w:val="00332D26"/>
    <w:rsid w:val="00351151"/>
    <w:rsid w:val="0036105C"/>
    <w:rsid w:val="00371B74"/>
    <w:rsid w:val="003D58BB"/>
    <w:rsid w:val="003D7103"/>
    <w:rsid w:val="00436A22"/>
    <w:rsid w:val="004532C6"/>
    <w:rsid w:val="00491C96"/>
    <w:rsid w:val="004C4768"/>
    <w:rsid w:val="004C73C1"/>
    <w:rsid w:val="004D6CD3"/>
    <w:rsid w:val="004E394D"/>
    <w:rsid w:val="004E528B"/>
    <w:rsid w:val="0050744F"/>
    <w:rsid w:val="00513B44"/>
    <w:rsid w:val="00550EA4"/>
    <w:rsid w:val="005743D0"/>
    <w:rsid w:val="005B3846"/>
    <w:rsid w:val="005C2A52"/>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B2034"/>
    <w:rsid w:val="008E4A55"/>
    <w:rsid w:val="008F63B4"/>
    <w:rsid w:val="00920A74"/>
    <w:rsid w:val="009364B5"/>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F6575"/>
    <w:rsid w:val="00C10149"/>
    <w:rsid w:val="00C3600E"/>
    <w:rsid w:val="00C53F0E"/>
    <w:rsid w:val="00C574F8"/>
    <w:rsid w:val="00CA0D38"/>
    <w:rsid w:val="00CA17FC"/>
    <w:rsid w:val="00CB365A"/>
    <w:rsid w:val="00CE4905"/>
    <w:rsid w:val="00CF0026"/>
    <w:rsid w:val="00D000E6"/>
    <w:rsid w:val="00D2647B"/>
    <w:rsid w:val="00D367D2"/>
    <w:rsid w:val="00D63C6B"/>
    <w:rsid w:val="00D66380"/>
    <w:rsid w:val="00D9345B"/>
    <w:rsid w:val="00DC5407"/>
    <w:rsid w:val="00DD011B"/>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7-2008-nd-cp-cua-chinh-phu---quy-dinh-chuc-nang--nhiem-vu--quyen-han-va-co-cau-to-chuc-cua-bo-xay-dung.aspx" TargetMode="External"/><Relationship Id="rId13" Type="http://schemas.openxmlformats.org/officeDocument/2006/relationships/image" Target="media/image4.png"/><Relationship Id="rId18" Type="http://schemas.openxmlformats.org/officeDocument/2006/relationships/hyperlink" Target="https://admin.luatminhkhue.vn/van-ban/thong-tu-06-2007-tt-bxd-huong-dan-hop-dong-trong-hoat-dong-xay-dung.asp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min.luatminhkhue.vn/van-ban/nghi-dinh-so-48-2010-nd-cp-cua-chinh-phu---ve-hop-dong-trong-hoat-dong-xay-dung.aspx"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2680</Words>
  <Characters>15282</Characters>
  <Application>Microsoft Office Word</Application>
  <DocSecurity>0</DocSecurity>
  <Lines>127</Lines>
  <Paragraphs>35</Paragraphs>
  <ScaleCrop>false</ScaleCrop>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81</cp:revision>
  <dcterms:created xsi:type="dcterms:W3CDTF">2024-12-11T16:15:00Z</dcterms:created>
  <dcterms:modified xsi:type="dcterms:W3CDTF">2025-01-10T14:22:00Z</dcterms:modified>
</cp:coreProperties>
</file>