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B51EE" w14:paraId="374640B8" w14:textId="77777777" w:rsidTr="000B51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F04B" w14:textId="77777777" w:rsidR="000B51EE" w:rsidRDefault="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HÀ NỘI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D3926" w14:textId="77777777" w:rsidR="000B51EE" w:rsidRDefault="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51EE" w14:paraId="5458B706" w14:textId="77777777" w:rsidTr="000B51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DAB7D" w14:textId="77777777" w:rsidR="000B51EE" w:rsidRDefault="000B51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16/2015/QĐ-UBND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88950" w14:textId="77777777" w:rsidR="000B51EE" w:rsidRDefault="000B51E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07 năm 2015</w:t>
            </w:r>
          </w:p>
        </w:tc>
      </w:tr>
    </w:tbl>
    <w:p w14:paraId="6A724FD9" w14:textId="77777777" w:rsidR="000B51EE" w:rsidRDefault="000B51EE" w:rsidP="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E6E1C89" w14:textId="77777777" w:rsidR="000B51EE" w:rsidRDefault="000B51EE" w:rsidP="000B51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SỬA ĐỔI, BỔ SUNG MỘT SỐ ĐIỀU, KHOẢN CỦA QUYẾT ĐỊNH SỐ 15/2011/QĐ-UBND NGÀY 06/5/2011 CỦA UBND THÀNH PHỐ QUY ĐỊNH VỀ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14:paraId="21499268" w14:textId="77777777" w:rsidR="000B51EE" w:rsidRDefault="000B51EE" w:rsidP="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HÀ NỘI</w:t>
      </w:r>
    </w:p>
    <w:p w14:paraId="1E826312"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HĐND và UBND</w:t>
        </w:r>
      </w:hyperlink>
      <w:r>
        <w:rPr>
          <w:rStyle w:val="Emphasis"/>
          <w:rFonts w:ascii="Arial" w:hAnsi="Arial" w:cs="Arial"/>
          <w:color w:val="000000"/>
          <w:sz w:val="21"/>
          <w:szCs w:val="21"/>
        </w:rPr>
        <w:t> ngày 26/11/2003;</w:t>
      </w:r>
    </w:p>
    <w:p w14:paraId="0B1F615D"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năm 2013 và các Nghị định hướng dẫn thi hành;</w:t>
      </w:r>
    </w:p>
    <w:p w14:paraId="4DE6ECA0"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0" w:history="1">
        <w:r>
          <w:rPr>
            <w:rStyle w:val="Hyperlink"/>
            <w:rFonts w:ascii="Arial" w:hAnsi="Arial" w:cs="Arial"/>
            <w:i/>
            <w:iCs/>
            <w:color w:val="135ECD"/>
            <w:sz w:val="21"/>
            <w:szCs w:val="21"/>
          </w:rPr>
          <w:t>39/2005/QĐ-TTg</w:t>
        </w:r>
      </w:hyperlink>
      <w:r>
        <w:rPr>
          <w:rStyle w:val="Emphasis"/>
          <w:rFonts w:ascii="Arial" w:hAnsi="Arial" w:cs="Arial"/>
          <w:color w:val="000000"/>
          <w:sz w:val="21"/>
          <w:szCs w:val="21"/>
        </w:rPr>
        <w:t> ngày 28/2/2005 của Thủ tướng Chính phủ về việc hướng dẫn thi hành Điều 121 của Luật Xây dựng;</w:t>
      </w:r>
    </w:p>
    <w:p w14:paraId="2F1086AD"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Giám đốc Sở Tài nguyên và Môi trường tại Tờ trình số 3287/TTr-STNMT-QHKHSDĐ ngày 12/6/2015 và của Giám đốc Sở Tư pháp tại Báo cáo thẩm định số 1341/STP-VBPQ ngày 25/5/2015,</w:t>
      </w:r>
    </w:p>
    <w:p w14:paraId="280B5871" w14:textId="77777777" w:rsidR="000B51EE" w:rsidRDefault="000B51EE" w:rsidP="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64CA65D"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một số điều, khoản của Quy định về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 ban hành kèm theo Quyết định số 15/2011/QĐ-UBND ngày 06/5/2011 của UBND Thành phố, như sau:</w:t>
      </w:r>
    </w:p>
    <w:p w14:paraId="55972A48"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4 Điều 2 như sau:</w:t>
      </w:r>
    </w:p>
    <w:p w14:paraId="233DE699"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nước áp dụng biện pháp thu hồi đất để xử lý các trường hợp đất không đủ điều kiện về mặt bằng xây dựng thì trình tự, thủ tục thu hồi đất và việc bồi thường, hỗ trợ tái định cư được thực hiện theo quy định hiện hành của UBND Thành phố.”</w:t>
      </w:r>
    </w:p>
    <w:p w14:paraId="18C43847"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mục a) khoản 1 Điều 4 như sau:</w:t>
      </w:r>
    </w:p>
    <w:p w14:paraId="3AAFB437"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chủ sử dụng đất có giấy tờ hợp pháp, UBND quận, huyện, thị xã có trách nhiệm thông báo, hướng dẫn các chủ sử dụng đất có nhu cầu thỏa thuận và thực hiện thỏa thuận về việc chuyển nhượng và nhận chuyển nhượng quyền sử dụng đất để hợp thửa đất hoặc hợp khối nhà theo quy định; tạo điều kiện thuận lợi cho các chủ sử dụng đất làm thủ tục chuyển nhượng quyền sử dụng đất và tổ chức cấp Giấy chứng nhận quyền sử dụng đất, quyền sở hữu nhà ở và tài sản khác gắn liền với đất cho sử dụng đất theo quy định”.</w:t>
      </w:r>
    </w:p>
    <w:p w14:paraId="01A17335"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3 vào Điều 5 như sau:</w:t>
      </w:r>
    </w:p>
    <w:p w14:paraId="29CD67D6"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sử dụng diện tích đất sau thu hồi trong trường hợp thực hiện phương án b) khoản 1 Điều này.</w:t>
      </w:r>
    </w:p>
    <w:p w14:paraId="48153D55"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sau thu hồi được sử dụng vào các mục đích:</w:t>
      </w:r>
    </w:p>
    <w:p w14:paraId="71DEBAE2"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dự án sử dụng vào mục đích công cộng (không sử dụng để mở rộng vỉa hè, trồng cây xanh, thảm cỏ) có xây dựng tường rào ngăn cách với đất của các hộ liền kề phía trong.</w:t>
      </w:r>
    </w:p>
    <w:p w14:paraId="08B45FE6"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tổ chức, cá nhân sử dụng đất liền kề có nhu cầu sử dụng đất để hợp thửa đất xây dựng công trình theo quy hoạch, chỉnh trang tuyến phố thì được xem xét giao đất chỉ định theo giá thị trường quy định. Ủy ban nhân dân các quận, huyện, thị xã có trách nhiệm kiểm tra, xem xét, đề xuất UBND Thành phố giải quyết từng trường hợp cụ thể.”</w:t>
      </w:r>
    </w:p>
    <w:p w14:paraId="0ACFAE55"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10 ngày kể từ ngày ký.</w:t>
      </w:r>
    </w:p>
    <w:p w14:paraId="5C5FBA0F" w14:textId="77777777" w:rsidR="000B51EE" w:rsidRDefault="000B51EE" w:rsidP="000B5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UBND Thành phố; Giám đốc các Sở, Ban, Ngành; Chủ tịch UBND các quận, huyện, thị xã; các tổ chức,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B51EE" w14:paraId="5676FE09" w14:textId="77777777" w:rsidTr="000B51E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C0B7" w14:textId="77777777" w:rsidR="000B51EE" w:rsidRDefault="000B51EE">
            <w:pPr>
              <w:pStyle w:val="NormalWeb"/>
              <w:spacing w:after="90" w:afterAutospacing="0" w:line="345" w:lineRule="atLeast"/>
              <w:jc w:val="both"/>
              <w:rPr>
                <w:rFonts w:ascii="Arial" w:hAnsi="Arial" w:cs="Arial"/>
                <w:color w:val="000000"/>
                <w:sz w:val="21"/>
                <w:szCs w:val="21"/>
              </w:rPr>
            </w:pPr>
          </w:p>
          <w:p w14:paraId="29FB2292" w14:textId="77777777" w:rsidR="000B51EE" w:rsidRDefault="000B51EE" w:rsidP="000B51E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Thủ tướng Chính phủ;</w:t>
            </w:r>
            <w:r>
              <w:rPr>
                <w:rFonts w:ascii="Arial" w:hAnsi="Arial" w:cs="Arial"/>
                <w:color w:val="000000"/>
                <w:sz w:val="21"/>
                <w:szCs w:val="21"/>
              </w:rPr>
              <w:br/>
              <w:t>- Thường trực Thành ủy;</w:t>
            </w:r>
            <w:r>
              <w:rPr>
                <w:rFonts w:ascii="Arial" w:hAnsi="Arial" w:cs="Arial"/>
                <w:color w:val="000000"/>
                <w:sz w:val="21"/>
                <w:szCs w:val="21"/>
              </w:rPr>
              <w:br/>
              <w:t>- Đ/c Chủ tịch UBND Thành phố; (để báo cáo)</w:t>
            </w:r>
            <w:r>
              <w:rPr>
                <w:rFonts w:ascii="Arial" w:hAnsi="Arial" w:cs="Arial"/>
                <w:color w:val="000000"/>
                <w:sz w:val="21"/>
                <w:szCs w:val="21"/>
              </w:rPr>
              <w:br/>
              <w:t>- Thường trực HĐND Thành phố;</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Văn phòng Chính phủ;</w:t>
            </w:r>
            <w:r>
              <w:rPr>
                <w:rFonts w:ascii="Arial" w:hAnsi="Arial" w:cs="Arial"/>
                <w:color w:val="000000"/>
                <w:sz w:val="21"/>
                <w:szCs w:val="21"/>
              </w:rPr>
              <w:br/>
              <w:t>- Các Bộ: TN&amp;MT, Xây dựng, Tư pháp, Tài chính;</w:t>
            </w:r>
            <w:r>
              <w:rPr>
                <w:rFonts w:ascii="Arial" w:hAnsi="Arial" w:cs="Arial"/>
                <w:color w:val="000000"/>
                <w:sz w:val="21"/>
                <w:szCs w:val="21"/>
              </w:rPr>
              <w:br/>
              <w:t>- Các PCTUBND Thành phố ;</w:t>
            </w:r>
            <w:r>
              <w:rPr>
                <w:rFonts w:ascii="Arial" w:hAnsi="Arial" w:cs="Arial"/>
                <w:color w:val="000000"/>
                <w:sz w:val="21"/>
                <w:szCs w:val="21"/>
              </w:rPr>
              <w:br/>
              <w:t>- Cục Kiểm tra VBQPPL (Bộ TP);</w:t>
            </w:r>
            <w:r>
              <w:rPr>
                <w:rFonts w:ascii="Arial" w:hAnsi="Arial" w:cs="Arial"/>
                <w:color w:val="000000"/>
                <w:sz w:val="21"/>
                <w:szCs w:val="21"/>
              </w:rPr>
              <w:br/>
            </w:r>
            <w:r>
              <w:rPr>
                <w:rFonts w:ascii="Arial" w:hAnsi="Arial" w:cs="Arial"/>
                <w:color w:val="000000"/>
                <w:sz w:val="21"/>
                <w:szCs w:val="21"/>
              </w:rPr>
              <w:lastRenderedPageBreak/>
              <w:t>- Văn phòng Thành ủy;</w:t>
            </w:r>
            <w:r>
              <w:rPr>
                <w:rFonts w:ascii="Arial" w:hAnsi="Arial" w:cs="Arial"/>
                <w:color w:val="000000"/>
                <w:sz w:val="21"/>
                <w:szCs w:val="21"/>
              </w:rPr>
              <w:br/>
              <w:t>- Văn phòng HĐND&amp;ĐĐBQHHN;</w:t>
            </w:r>
            <w:r>
              <w:rPr>
                <w:rFonts w:ascii="Arial" w:hAnsi="Arial" w:cs="Arial"/>
                <w:color w:val="000000"/>
                <w:sz w:val="21"/>
                <w:szCs w:val="21"/>
              </w:rPr>
              <w:br/>
              <w:t>- Website Chính phủ;</w:t>
            </w:r>
            <w:r>
              <w:rPr>
                <w:rFonts w:ascii="Arial" w:hAnsi="Arial" w:cs="Arial"/>
                <w:color w:val="000000"/>
                <w:sz w:val="21"/>
                <w:szCs w:val="21"/>
              </w:rPr>
              <w:br/>
              <w:t>- VPUBTP: các PCVP, TH, các Phòng CV; Trung tâm TH và công báo;</w:t>
            </w:r>
            <w:r>
              <w:rPr>
                <w:rFonts w:ascii="Arial" w:hAnsi="Arial" w:cs="Arial"/>
                <w:color w:val="000000"/>
                <w:sz w:val="21"/>
                <w:szCs w:val="21"/>
              </w:rPr>
              <w:br/>
              <w:t>- Lưu: VT, TNth.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9F8B5" w14:textId="77777777" w:rsidR="000B51EE" w:rsidRDefault="000B5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Hồng Khanh</w:t>
            </w:r>
          </w:p>
        </w:tc>
      </w:tr>
    </w:tbl>
    <w:p w14:paraId="57B992D3" w14:textId="02E18E37" w:rsidR="00E84537" w:rsidRPr="000B51EE" w:rsidRDefault="00E84537" w:rsidP="000B51EE"/>
    <w:sectPr w:rsidR="00E84537" w:rsidRPr="000B51EE"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CF97" w14:textId="77777777" w:rsidR="002674E5" w:rsidRDefault="002674E5" w:rsidP="006C1190">
      <w:r>
        <w:separator/>
      </w:r>
    </w:p>
  </w:endnote>
  <w:endnote w:type="continuationSeparator" w:id="0">
    <w:p w14:paraId="7C8FEF97" w14:textId="77777777" w:rsidR="002674E5" w:rsidRDefault="002674E5"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4B3D0" w14:textId="77777777" w:rsidR="002674E5" w:rsidRDefault="002674E5" w:rsidP="006C1190">
      <w:r>
        <w:separator/>
      </w:r>
    </w:p>
  </w:footnote>
  <w:footnote w:type="continuationSeparator" w:id="0">
    <w:p w14:paraId="01B2DE63" w14:textId="77777777" w:rsidR="002674E5" w:rsidRDefault="002674E5"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744F"/>
    <w:rsid w:val="00513B44"/>
    <w:rsid w:val="00550EA4"/>
    <w:rsid w:val="005743D0"/>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hoi-dong-nhan-dan-va-uy-ban-nhan-dan-nam-2003.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quyet-dinh-39-2005-qd-ttg-huong-dan-thi-hanh-dieu-121-cua-luat-xay-dung.aspx" TargetMode="External"/><Relationship Id="rId4" Type="http://schemas.openxmlformats.org/officeDocument/2006/relationships/settings" Target="settings.xml"/><Relationship Id="rId9" Type="http://schemas.openxmlformats.org/officeDocument/2006/relationships/hyperlink" Target="https://admin.luatminhkhue.vn/van-ban/luat-dat-dai-nam-201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86</cp:revision>
  <dcterms:created xsi:type="dcterms:W3CDTF">2024-12-11T16:15:00Z</dcterms:created>
  <dcterms:modified xsi:type="dcterms:W3CDTF">2025-01-10T16:39:00Z</dcterms:modified>
</cp:coreProperties>
</file>