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70/2008/NĐ-CP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6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thi hành một số điều của Luật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Bình đẳng giới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w:t>
      </w:r>
      <w:r>
        <w:t xml:space="preserve">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quy định chi tiết thi hành các Điều 8, 9, 25, 26, 27, 28, 29 và 30 của Luật Bình đẳng giới về trách nhiệm quản lý nhà nước về bình đẳng giới và phối hợp thực hiện quản lý nhà nước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w:t>
      </w:r>
      <w:r>
        <w:t xml:space="preserve">Cơ quan quản lý nhà nước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Chính phủ thống nhất quản lý nhà nước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Lao động - Thương binh và Xã hội chịu trách nhiệm trước Chính phủ thực hiện quản lý nhà nước về bình đẳng giới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Bộ, cơ quan ngang Bộ trong phạm vi nhiệm vụ, quyền hạn của mình, có trách nhiệm phối hợp với Bộ Lao động - Thương binh và Xã hội thực hiện quản lý nhà nước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Ủy ban nhân dân các cấp thực hiện quản lý nhà nước về bình đẳng giới trong phạm vi địa phương theo phân cấp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THỰC HIỆN QUẢN LÝ NHÀ NƯỚC VỀ BÌNH ĐẢNG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w:t>
      </w:r>
      <w:r>
        <w:t xml:space="preserve">Trách nhiệm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Trình Chính phủ, Thủ tướng Chính phủ ban hành chiến lược, chính sách, chương trình, kế hoạch, mục tiêu quốc gia về bình đẳng giới, các biện pháp thúc đẩy bình đẳng giới; chủ trì, phối hợp với các Bộ, cơ quan ngang Bộ và các tổ chức chính trị - xã hội ở Trung ương tổ chức thực hiện các chiến lược, chính sách, chương trình, kế hoạch, mục tiêu, biện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Trình cơ quan nhà nước có thẩm quyền ban hành hoặc ban hành theo thẩm quyền và tổ chức thực hiện các văn bản quy phạm pháp luật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Tham gia đánh giá việc lồng ghép vấn đề bình đẳng giới trong xây dựng văn bản quy phạm -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Tuyên truyền, phổ biến, giáo dục chính sách, pháp luật về bình đăng giới.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Hướng dẫn hoạt động bình đẳng giới, kỹ năng lồng ghép vấn đề bình đẳng giới trong tổ chức hoạt động của các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Chủ trì, phối hợp với các Bộ, cơ quan ngang Bộ xây dựng, đào tạo, bồi dưỡng đội ngũ cán bộ hoạt động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Tổ chức nghiên cứu khoa học, ứng dụng tiến bộ khoa học trong lĩnh vực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Sơ kết, tổng kết, báo cáo, đánh giá hàng năm và theo định kỳ về tình hình thực hiện bình đẳng giới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Thống kê và công bố thông tin, số liệu về bình đẳng giới trong phạm vi cả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Thục hiện hợp tác quốc tế về bình đẳng giới trong phạm vi quản lý nhà nước theo quy định của pháp luật; đề xuất việc ký kết, gia nhập điều ước quốc tế về bình đằng giới và tổ chức thực hiện các điều ước quốc tế về bình đẳng giới mà Việt Nam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Kiểm tra, thanh tra việc thực hiện pháp luật về bình đẳng giới, giải quyết khiếu nại, tố cáo và xử lý vi phạm pháp luật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w:t>
      </w:r>
      <w:r>
        <w:t xml:space="preserve">Trách nhiệm của các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Rà soát văn bản quy phạm pháp luật hiện hành để sửa đổi, bổ sung, huỷ bỏ, ban hành mới theo thẩm quyền hoặc trình cơ quan có thẩm quyền sửa đổi, bổ sung, huỷ bỏ, ban hành mới văn bản quy phạm pháp luật nhằm bảo đảm bình đẳng giới trong ngành, lĩnh vực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Nghiên cứu, kiến nghị cơ quan nhà nước có thẩm quyền ban hành các biện pháp thúc đẩy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Lồng ghép vấn đề bình đẳng giới trong xây dựng và tổ chức thực hiện các chương trình, kế hoạch hoạt động của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Hướng dẫn và tổ chúc thực hiện các biện pháp thúc đẩy bình đẳng giới trong ngành, lĩnh vực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Chỉ đạo, hướng dẫn thực hiện lồng ghép vấn đề bình đẳng giới trong ngành, lĩnh vực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Tuyên truyền, phổ biến chính sách, pháp luật về bình đẳng giới trong ngành, lĩnh vực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Tổ chức nghiên cứu khoa học, ứng dụng tiến bộ khoa học về bình đẳng giới trong ngành, lĩnh vực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Tổ chức sơ kết, tổng kết, báo cáo hàng năm và theo định kỳ về tình hình thực hiện bình đẳng giới trong ngành, lĩnh vực phụ trách. Chủ trì, phối hợp với Bộ Lao động - Thương binh và Xã hội đánh giá theo định kỳ về thực trạng bình đẳng giới trong ngành, lĩnh vực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Thanh tra, kiểm tra, xử lý vi phạm pháp luật và giải quyết khiếu nại, tố cáo về bình đẳng giới trong lĩnh vực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w:t>
      </w:r>
      <w:r>
        <w:t xml:space="preserve">Trách nhiệm của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trình cơ quan có thẩm quyền ban hành hoặc ban hành theo thẩm quyền và tổ chức thực hiện chính sách, chương trình, kế hoạch về bình đẳng giới của địa phương nhằm cụ thể hoá chiến lược, chính sách, mục tiêu quốc gia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Xây dựng, trình Hội đồng nhân dân cùng cấp ban hành hoặc ban hành theo thẩm quyền và tổ chức thực hiện các văn bản quy phạm pháp luật về bình đẳng giới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lồng ghép vấn đề bình đẳng giới vào việc xây dựng và tổ chức thực hiện chiến lược, quy hoạch, kế hoạch phát triển kinh tế - xã hội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Chỉ đạo, tổ chức thực hiện các biện pháp thúc đẩy bình đẳng giới phù hợp với điều kiện kinh tế - xã hội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Tổ chức chỉ đạo công tác tuyên truyền, phổ biến, giáo dục về giới và chính sách, pháp luật về bình đẳng giới cho nhân dân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Xây dựng, tổ chức đào tạo, bồi dưỡng đội ngũ cán bộ hoạt động về bình đẳng giới ở địa phương; tổ chức nghiên cứu khoa học, ứng dụng khoa học trong lĩnh vục giới và bình đẳng giới; xây dựng cơ chế, chính sách huy động nhân lực, kinh phí để thực hiện bình đẳng giới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Thu thập, xử lý thông tin, số liệu về bình đẳng giới trong phạm vi địa phương. Sơ kết, tổng kết, báo cáo, đánh giá hàng năm và định kỳ về tình hình thực hiện bình đẳng giới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Kiểm tra, thanh tra tình hình thực hiện pháp luật về bình đẳng giới, giải quyết khiếu nại, tố cáo và xử lý vi phạm pháp luật về bình đẳng giới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w:t>
      </w:r>
      <w:r>
        <w:t xml:space="preserve">Trách nhiệm của Ủy ban nhân dân quận, huyện, thị xã,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trình Hội đồng nhân dân cùng cấp ban hành hoặc ban hành theo thẩm quyền và tổ chức thực hiện các chính sách, chương trình, kế hoạch về giới và bình đẳng giới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Chỉ đạo, tổ chức thực hiện các biện pháp thúc đẩy bình đẳng giới phù hợp với điều kiện kinh tế - xã hội của địa phương; huy động nhân lực, kinh phí để thực hiện bình đẳng giới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chỉ đạo công tác tuyên truyền, phổ biến, giáo dục về giới và chính sách, pháp luật về bình đẳng giới cho nhân dân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Thu thập, xử lý thông tin, số liệu về bình đẳng giới trong phạm vi địa phương. Sơ kết, tổng kết, báo cáo đánh giá hàng năm và định kỳ về tình hình thực hiện bình đẳng giới trong phạm vi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Kiểm tra, thanh tra tình hình thực hiện pháp luật về bình đẳng giới, giải quyết khiếu nại, tố cáo và xử lý vi phạm pháp luật về bình đẳng giới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w:t>
      </w:r>
      <w:r>
        <w:t xml:space="preserve">Trách nhiệm của Ủy ban nhân dân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trình Hội đồng nhân dân cùng cấp ban hành hoặc ban hành theo thẩm quyền và tổ chức thực hiện các chính sách, chương trình, kế hoạch về bình đẳng giới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thực hiện các biện pháp thúc đẩy bình đẳng giới phù hợp với điều kiện kinh tế - xã hội của địa phương; huy động nhân lực, kinh phí để thực hiện bình đẳng giới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Tuyên truyền, phổ biến, giáo dục chính sách, pháp luật về giới và bình đẳng giới cho nhân dân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Thu thập, xử lý thông tin, số liệu về bình đẳng giới trong phạm vi địa phương. Sơ kết, tổng kết, báo cáo đánh giá hàng năm và định kỳ về tình hình thực hiện bình đẳng giới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Kiểm tra tình hình thực hiện pháp luật về bình đẳng giới, giải quyết khiếu nại, tố cáo và xử lý vi phạm pháp luật về bình đẳng giới trong phạm vi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PHỐI HỢP THỰC HIỆN QUẢN LÝ NHÀ NƯỚC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w:t>
      </w:r>
      <w:r>
        <w:t xml:space="preserve">Nguyên tắc phối hợp thực hiện quản lý nhà nước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Lao động - Thương binh và Xã hội và các Bộ, cơ quan ngang Bộ, Ủy ban nhân dân các cấp khi thực hiện quản lý nhà nước về bình đẳng giới, trong phạm vi nhiệm vụ, quyền hạn được giao, có quyền yêu cầu các cơ quan, tổ chức có liên quan phối hợp thực hiện một hoặc một số công việc trên cơ sở các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Nội dung phối hợp thực hiện quản lý nhà nước về bình đẳng giới phải liên quan đến chức năng, nhiệm vụ, quyền hạn của cơ quan phối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Bảo đảm tính khách quan trong quá trình phối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Bảo đảm yêu cầu chuyên môn, chất lượng và thời hạn phối hợp; nâng cao trách nhiệm và hiệu quả trong việc giải quyết các công việc liên quan đến nội dung phối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Bảo đảm kỷ luật, kỷ cương trong hoạt động phối hợp; đề cao trách nhiệm của Thủ trưởng cơ quan chủ trì, cơ quan phối hợp và cán bộ, công chức tham gia phối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w:t>
      </w:r>
      <w:r>
        <w:t xml:space="preserve">Phối hợp trong việc lồng ghép vấn đề bình đẳng giới trong xây dựng và thực hiện chiến lược, quy hoạch, kế hoạch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Kế hoạch và Đầu tư chủ trì, phối hợp với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Lồng ghép vấn đề bình đẳng giới vào việc xây dựng và đánh giá kết quả thực hiện các chỉ tiêu trong chiến lược, quy hoạch, kế hoạch phát triển kinh tế - xã hội của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Hướng dẫn lồng ghép vấn đề bình đẳng giới vào việc xây dựng và đánh giá kết quả thực hiện các chỉ tiêu trong chiến lược, quy hoạch, kế hoạch phát triển kinh tế - xã hội của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Bộ, cơ quan ngang Bộ, Ủy ban nhân dân các tỉnh, thành phố trực thuộc Trung ương có trách nhiệm lồng ghép vấn đề bình đẳng giới vào việc xây dựng, tổ chức thực hiện và đánh giá kết quả thực hiện các chỉ tiêu trong chiến lược, quy hoạch, kế hoạch phát triển kinh tế - xã hội của ngành,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w:t>
      </w:r>
      <w:r>
        <w:t xml:space="preserve">Phối hợp trong việc lồng ghép vấn đề bình đẳng giới trong xây dựng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Bộ, cơ quan ngang Bộ, Ủy ban nhân dân các cấp có trách nhiệm lồng ghép vấn đề bình đẳng giới trong xây dựng các văn bản quy phạm pháp luật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tư pháp chủ trì, phối hợp với Bộ Lao động - Thương binh và Xã hội đánh giá việc lồng ghép vấn đề bình đẳng giới trong xây dựng văn bản quy phạm pháp luật,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ạ) Dự án, dự thảo văn bản quy phạm pháp luật do Chính phủ trình Quốc hội, Ủy ban Thường vụ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Dự án, dự thảo văn bản quy phạm pháp luật do cơ quan khác, tổ chức, đại biểu Quốc hội trình Quốc hội, Ủy ban Thường vụ Quốc hội mà Chính phủ có trách nhiệm tham gia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Dự thảo văn bản quy phạm pháp luật thuộc thẩm quyền ban hành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pháp chế Bộ, cơ quan ngang Bộ và cơ quan tư pháp thuộc Ủy ban nhân dân cấp tỉnh, cấp huyện có trách nhiệm đánh giá việc lồng ghép vấn đề bình đẳng giới trong xây dựng văn bản quy phạm pháp luật thuộc thẩm quyền ban hành của Bộ, cơ quan ngang Bộ, Hội đồng nhân dân và Ủy ban nhân dân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w:t>
      </w:r>
      <w:r>
        <w:t xml:space="preserve">Phối hợp trong việc thông tin, tuyên truyền, phổ biến, giáo dục chính sách, pháp luật và kiến thức về giới và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lao động - Thương binh và Xã hội chủ trì, phối hợp với Bộ Tư pháp hướng dẫn, tổ chức tuyên truyền, giáo dục Luật Bình đẳng giới và các văn bản pháp luật về bình đẳng giới; chủ trì, phối hợp với Trung ương Hội Liên hiệp Phụ nữ Việt Nam và các cơ quan, tổ chức có liên quan xây dựng chương trình, nội dung truyền thông, hướng dẫn các cơ quan, tổ chức, cá nhân thực hiện tuyên truyền, giáo dục và cung cấp kiến thức, kỹ năng thực hành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Giáo dục và Đào tạo nghiên cứu đưa nội dung về giới và bình đẳng giới vào các chương trình giáo dục trong nhà trường phù hợp với từng cấp học và trình độ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Bộ Thông tin và Truyền thông chủ trì nghiên cứu, xây dựng và triển khai thực hiện đề án thông tin, giáo dục, truyền thông về giới và bình đẳng giới qua các ấn phẩm, chương trình phát thanh, truyền hình và các hình thức khác; chỉ đạo, hướng dẫn Đài Tiếng nói Việt Nam, Đài Truyền hình Việt Nam và các cơ quan thông tin đại chúng khác thực hiện tuyên truyền, phổ biến đường lối, chính sách của Đảng, pháp luật của Nhà nước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Ủy ban Dân tộc chủ trì, phối hợp với Bộ Lao động - Thương binh và Xã hội, Bộ Thông tin và Truyền thông tổ chức tuyên truyền, phổ biến giáo dục kiến thức và chính sách, pháp luật về bình đẳng giới cho đồng bào dân tộc ít người; vận động đồng bào dân tộc ít người phát huy các phong tục, tập quán và truyền thống tốt đẹp của dân tộc phù hợp với mục tiêu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Các cơ quan thông tin tuyên truyền và các cơ quan, tổ chức, trong phạm vi nhiệm vụ, quyền hạn của mình, có trách nhiệm tuyên truyền, phổ biến đường lối, chính sách của Đảng, pháp luật của Nhà nước về bình đẳng giới, giới thiệu mô hình, điển hình tiên tiến, người tốt, việc tốt trong việc thực hiện bình đẳng giới, phê phán hành vi, cá nhân, tổ chức vi phạm pháp luật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w:t>
      </w:r>
      <w:r>
        <w:t xml:space="preserve">Phối hợp trong việc thống kê, thu thập, cung cấp thông tin, số liệu về giới và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Kế hoạch và Đầu tư chủ trì, phối hợp với Bộ Lao động - Thương binh và Xã hội nghiên cứu xây dựng, trình Chính phủ ban hành chỉ số phát triển giới của quốc gia, tiêu chí phân loại giới tính trong số liệu thông tin thống kê nhà nước; hướng dẫn các Bộ, cơ quan ngang Bộ và Ủy ban nhân dân các tỉnh, thành phố trực thuộc Trung ương thực hiện việc thu thập, tổng hợp số liệu thống kê về giới thuộc hệ thống chỉ tiêu quốc gia và tính toán chỉ số phát triển về giới của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Lao động - Thương binh và Xã hội chủ trì, phối hợp với Bộ Kế hoạch và Đầu tư, các Bộ, cơ quan ngang Bộ, Ủy ban nhân dân các tỉnh, thành phố trực thuộc trung ương và các cơ quan, tổ chức có liên quan thu thập và tổng hợp thông tin, số liệu về bình đẳng giới; cung cấp thông tin, số liệu về bình đẳng giới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Bộ, cơ quan ngang Bộ xây dựng và ban hành theo thẩm quyền các tiêu chí phân loại theo giới tính trong chỉ tiêu thống kê thuộc ngành, lĩnh vực phụ trách; tổ chức việc thống kê, thu thập thông tin, số liệu và báo cáo về tình hình thực hiện bình đẳng giới thuộc ngành, lĩnh vực phụ trách theo định kỳ hoặc theo yêu cầu của Bộ Lao động - Thương binh và Xã hội,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Phối hợp trong việc xây dựng các báo cáo quốc gia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Lao động - Thương binh và Xã hội chủ trì, phối hợp với Bộ Kế hoạch và Đầu tư và các Bộ, ngành có liên quan xây dựng báo cáo hàng năm để Chính phủ trình Quốc hội về việc thực hiện mục tiêu quốc gia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Lao động - Thương binh và Xã hội chủ trì, phối hợp với Bộ Kế hoạch và Đầu tư, Bộ Ngoại giao và các Bộ, ngành khác có liên quan xây dựng các báo cáo gửi quốc tế về những tiến bộ của Việt Nam trong việc thực hiện bình đẳng giới, báo cáo về tình hình thực hiện Công ước của Liên hợp quốc về xoá bỏ mọi hình thức phân biệt đối xử đối với phụ nữ (Công ước CEDAW).</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Bộ, cơ quan ngang Bộ, Ủy ban nhân dân các tỉnh, thành phố trực thuộc Trung ương có trách nhiệm cung cấp thông tin, báo cáo về tình hình thực hiện pháp luật về bình đẳng giới và các biện pháp thúc đẩy bình đẳng giới trong ngành, lĩnh vực, địa phương để Bộ Lao động - Thương binh và Xã hội tổng hợp, xây dựng các báo cáo quốc gia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w:t>
      </w:r>
      <w:r>
        <w:t xml:space="preserve">Phối hợp trong việc bảo đảm điều kiện về nguồn tài chính cho hoạt động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Tài chính có trách nhiệm hướng dẫn các Bộ, cơ quan ngang Bộ, Ủy ban nhân dân các tỉnh, thành phố trực thuộc Trung ương lập dự toán ngân sách, quản lý và sử dụng nguồn tài chính cho hoạt động bình đẳng giới bảo đảm đúng mục đích, có hiệu quả và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Kế hoạch và Đầu tư chủ trì, phối hợp với Bộ Lao động - Thương binh và Xã hội, Bộ Tài chính, Bộ Ngoại giao và các cơ quan, tổ chức khác có liên quan huy động các nguồn vốn viện trợ, vốn vay của quốc tế và các nguồn vốn khác cho hoạt động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w:t>
      </w:r>
      <w:r>
        <w:t xml:space="preserve">Tham gia quản lý nhà nước về bình đẳng giới của Mặt trận Tổ quốc Việt Nam và các tổ chức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Lao động - Thương binh và Xã hội, các Bộ, cơ quan ngang Bộ, Ủy ban nhân dân các cấp có trách nhiệm phối hợp và tạo điều kiện thuận lợi để Ủy ban Mặt trận Tổ quốc Việt Nam và các tổ chức thành viên của Mặt trận cùng cấp tham gia hoạt động quản lý nhà nước về bình đẳng giới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Mời đại diện Ủy ban Mặt trận Tổ quốc Việt Nam và các tổ chức thành viên của Mặt trận cùng cấp tham gia thảo luận hoặc gửi dự thảo văn bản để Ủy ban Mặt trận Tổ quốc Việt Nam và các tổ chức thành viên của Mặt trận cùng cấp góp ý kiến khi xây dựng, sửa đổi, bổ sung các chính sách, pháp luật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Nghiên cứu, tiếp thu các đề xuất của Ủy ban Mặt trận Tổ quốc Việt Nam và các tổ chức thành viên của Mặt trận cùng cấp về các biện pháp thúc đẩy bình đẳng giới và việc thực hiện các biện pháp thúc đẩy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Phối hợp tổ chức các hoạt động tuyên truyền, vận động nhân dân thực hiện bình đẳng giới, Luật Bình đẳng giới và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Lao động - Thương binh và Xã hội phối hợp với Ủy ban Trung ương Mặt trận Tổ quốc Việt Nam hướng dẫn việc thực hiện chính sách, pháp luật về bình đẳng giới trong hoạt động của Mặt trận Tổ quốc Việt Nam và các tổ chức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 </w:t>
      </w:r>
      <w:r>
        <w:t xml:space="preserve">Tham gia quản lý nhà nước về bình đẳng giới của Hội Liên hiệp Phụ nữ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Lao động - Thương binh và Xã hội, các Bộ, cơ quan ngang Bộ, Ủy ban nhân dân các cấp có trách nhiệm phối hợp và tạo điều kiện thuận lợi để Hội Liên hiệp Phụ nữ cùng cấp tham gia các hoạt động quản lý nhà nước về bình đẳng giới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các quy định tại khoản 1 Điều 15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Nghiên cứu, tiếp thu các phản biện xã hội của Hội Liên hiệp Phụ nữ cùng cấp đối với chính sách, pháp luật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Phối hợp với Hội Liên hiệp Phụ nữ cùng cấp thu thập ý kiến về tình hình thực hiện chính sách, pháp luật về bình đẳng giới và phát hiện những hành vi vi phạm pháp luật về bình đẳng giới để kịp thời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Phối hợp tuyên truyền, giáo dục, bồi dưỡng kiến thức về giới, kỹ năng hoạt động bình đẳng giới; tổ chức các hoạt động hỗ trợ phụ nữ góp phần thực hiện mục tiêu về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w:t>
      </w:r>
      <w: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 </w:t>
      </w:r>
      <w:r>
        <w:t xml:space="preserve">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trưởng Bộ Lao động - Thương binh và Xã hội chịu trách nhiệm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trưởng, Thủ trưởng cơ quan ngang Bộ, Thủ trưởng cơ quan thuộc Chính phủ, Chủ tịch Ủy ban nhân dân các cấp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0-2008-nd-cp-cua-chinh-phu---quy-dinh-chi-tiet-thi-hanh-mot-so-dieu-cua-luat-binh-dang-gi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2022-06-20T23:14:01Z</dcterms:created>
  <dcterms:modified xsi:type="dcterms:W3CDTF">2022-06-20T23:14:01Z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2022-06-20T23:14:01Z</dcterms:created>
  <dcterms:modified xsi:type="dcterms:W3CDTF">2022-06-20T23:14:01Z</dcterms:modified>
</cp:coreProperties>
</file>