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Tr="002C6AEE">
        <w:trPr>
          <w:trHeight w:val="659"/>
          <w:jc w:val="center"/>
        </w:trPr>
        <w:tc>
          <w:tcPr>
            <w:tcW w:w="3117" w:type="dxa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  <w:t xml:space="preserve">CHÍNH PHỦ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</w:rPr>
              <w:t xml:space="preserve">_______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Số: 124/2021/NĐ-CP</w:t>
            </w:r>
          </w:p>
        </w:tc>
        <w:tc>
          <w:tcPr>
            <w:tcW w:w="5889" w:type="dxa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  <w:t xml:space="preserve">CỘNG HÒA XÃ HỘI CHỦ NGHĨA VIỆT NAM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b/>
                <w:bCs/>
                <w:sz w:val="20"/>
                <w:szCs w:val="20"/>
                <w:highlight w:val="white"/>
              </w:rPr>
              <w:t xml:space="preserve">Độc lập - Tự do - Hạnh phúc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</w:rPr>
              <w:t xml:space="preserve">________________________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  <w:t xml:space="preserve">Hà Nội, ngày 28 tháng 12 năm 2021</w:t>
            </w:r>
          </w:p>
        </w:tc>
      </w:tr>
    </w:tbl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</w:pPr>
    </w:p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</w:pPr>
    </w:p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</w:p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</w:t>
      </w:r>
      <w:r w:rsidRPr="00C709A9" w:rsidR="00D97D73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115/2018/NĐ-CP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2018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117/2020/NĐ-CP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tế</w:t>
      </w:r>
    </w:p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highlight w:val="white"/>
          <w:vertAlign w:val="superscript"/>
        </w:rPr>
      </w:pPr>
      <w:r w:rsidRPr="00C709A9">
        <w:rPr>
          <w:rFonts w:ascii="Arial" w:eastAsia="Times New Roman" w:hAnsi="Arial" w:cs="Arial"/>
          <w:bCs/>
          <w:sz w:val="20"/>
          <w:szCs w:val="20"/>
          <w:highlight w:val="white"/>
          <w:vertAlign w:val="superscript"/>
        </w:rPr>
        <w:t xml:space="preserve">_____________</w:t>
      </w:r>
    </w:p>
    <w:p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white"/>
        </w:rPr>
      </w:pP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Căn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cứ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19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2015;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b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22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2019;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Căn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cứ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l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ý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2012;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b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s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đi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ề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13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á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11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2020;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Căn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cứ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rút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gây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hội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ứ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giảm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miễn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mắc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ở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(HIV/AIDS)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29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á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2006;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b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đi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ều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ố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nhi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ễ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rút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gây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hội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giảm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mi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ễ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ắ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ở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(HIV/AIDS)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16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á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2020;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đề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u w:color="FF0000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u w:color="FF0000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b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s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115/2018/NĐ-CP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2018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í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phẩ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1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17/2020/NĐ-CP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th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á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l</w:t>
      </w:r>
      <w:r w:rsidRPr="00C709A9" w:rsidR="00D97D73">
        <w:rPr>
          <w:rFonts w:ascii="Arial" w:eastAsia="Times New Roman" w:hAnsi="Arial" w:cs="Arial"/>
          <w:i/>
          <w:iCs/>
          <w:sz w:val="20"/>
          <w:szCs w:val="20"/>
          <w:highlight w:val="white"/>
        </w:rPr>
        <w:t xml:space="preserve">ĩ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nh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i/>
          <w:iCs/>
          <w:sz w:val="20"/>
          <w:szCs w:val="20"/>
          <w:highlight w:val="white"/>
          <w:lang w:val="vi-VN"/>
        </w:rPr>
        <w:t xml:space="preserve">tế.</w:t>
      </w:r>
    </w:p>
    <w:p>
      <w:pPr>
        <w:adjustRightInd w:val="0"/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115/2018/NĐ-CP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2018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</w:rPr>
        <w:t xml:space="preserve">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</w:rPr>
        <w:t xml:space="preserve">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gửi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dõi,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ữ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gửi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vẫn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còn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bookmarkStart w:id="0" w:name="_GoBack"/>
      <w:bookmarkEnd w:id="0"/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ề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nửa.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cắt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ngắn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lắc;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uống,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hút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‘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gom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rắn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nắp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đậy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8403FF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8403FF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tả,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lỵ,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trùng,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chảy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ự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ô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15351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ngừa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chéo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đọng;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kín;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gom,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thải,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tả,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lỵ,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trùng,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chảy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tả,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lỵ,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nhiễm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trùng,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chảy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gọi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tắt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GMP)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GMP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dượ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ế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ả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2019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GMP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thư),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lô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đúng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thư).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còn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b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716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8403FF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còn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ử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tráo,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thêm,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bớt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</w:t>
      </w:r>
      <w:r w:rsidRPr="00C709A9" w:rsidR="003171A3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ô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tráo,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thêm,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bớt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quyền.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k, l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đà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tạo,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nhóm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mỗi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tuân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kịp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rõ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ràng,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chặt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và/hoặc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định.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3171A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2a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3171A3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ủ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gây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khỏe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đích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ủ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tờ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ủ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26.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nguồn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gốc,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hỗ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trợ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cụ,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gói,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đựng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xúc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</w:t>
      </w:r>
      <w:r w:rsidRPr="00C709A9" w:rsidR="00483270">
        <w:rPr>
          <w:rFonts w:ascii="Arial" w:eastAsia="Times New Roman" w:hAnsi="Arial" w:cs="Arial"/>
          <w:b/>
          <w:bCs/>
          <w:sz w:val="20"/>
          <w:szCs w:val="20"/>
          <w:highlight w:val="white"/>
        </w:rPr>
        <w:t xml:space="preserve">ới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toàn</w:t>
      </w:r>
      <w:r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kịp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hoá,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vùng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ở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trọt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nuôi,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lợi,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(g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ồ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ế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="00F7286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</w:t>
      </w:r>
      <w:r w:rsidRPr="00C709A9" w:rsidR="00483270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hoá,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trọt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nuôi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sản);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(gồm: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trọt;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nuôi;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Thú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trọt;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nuôi;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trạm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huyện;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ô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gồm: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ở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nhũng,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-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9F5E2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đế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b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</w:t>
      </w:r>
      <w:r w:rsidRPr="00C709A9" w:rsidR="005A3A8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ở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nhũng,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</w:rPr>
        <w:t xml:space="preserve">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</w:rPr>
        <w:t xml:space="preserve">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</w:t>
      </w:r>
      <w:r w:rsidR="008E0CB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ươ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C311D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</w:t>
      </w:r>
      <w:r w:rsidR="008E0CB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ươ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ắ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ử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ậ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ầ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E741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1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>
        <w:rPr>
          <w:rFonts w:ascii="Arial" w:eastAsia="Times New Roman" w:hAnsi="Arial" w:cs="Arial"/>
          <w:sz w:val="20"/>
          <w:szCs w:val="20"/>
          <w:highlight w:val="white"/>
          <w:lang w:val="en-SG"/>
        </w:rPr>
        <w:t xml:space="preserve">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hạn;</w:t>
      </w:r>
      <w:r>
        <w:rPr>
          <w:rFonts w:ascii="Arial" w:eastAsia="Times New Roman" w:hAnsi="Arial" w:cs="Arial"/>
          <w:sz w:val="20"/>
          <w:szCs w:val="20"/>
          <w:highlight w:val="white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D47AE8">
        <w:rPr>
          <w:rFonts w:ascii="Arial" w:eastAsia="Times New Roman" w:hAnsi="Arial" w:cs="Arial"/>
          <w:sz w:val="20"/>
          <w:szCs w:val="20"/>
          <w:highlight w:val="white"/>
        </w:rPr>
        <w:t xml:space="preserve">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hữu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tuệ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chức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Á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k,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k,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k,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 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gom,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</w:rPr>
        <w:t xml:space="preserve">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117/2020/NĐ-CP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tế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C6DA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48;</w:t>
      </w:r>
      <w:r w:rsidRPr="00C709A9" w:rsidR="00CD15DD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53;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CD15DD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68;</w:t>
      </w:r>
      <w:r w:rsidRPr="00C709A9" w:rsidR="008D5C7D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73;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80;</w:t>
      </w:r>
      <w:r w:rsidRPr="00C709A9" w:rsidR="008D5C7D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cứ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xét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dấu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9E1EF2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khởi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C51F2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C51F2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 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gửi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dõi,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gửi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III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hướng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dẫn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gồm: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khuẩn,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nhóm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xét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F668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tuổ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D6F5E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củ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nhau;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đúng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đúng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họa,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C3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k,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yết;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E611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hơ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toán,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chênh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C51F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D5C7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48a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48a.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BD66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dượ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sàng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s</w:t>
      </w:r>
      <w:r w:rsidRPr="00C709A9" w:rsidR="00BD66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ở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bệnh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sàng.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lâm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D5C7D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tặng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tặng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FF44D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D2F2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424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nhỏ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B587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 đổi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lớn,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B587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 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nhỏ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FF5A6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trữ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822AD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đó;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lớn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bởi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3068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học,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lãm,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chợ;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để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074F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đúng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tắc,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riêng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riêng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rõ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để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lẫn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thêm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</w:t>
      </w:r>
      <w:r w:rsidRPr="00C709A9" w:rsidR="0061729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xin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1729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giữ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tắc,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mẫu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92B9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tắc,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05A9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="00BE254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9249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thặng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thặng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lẻ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F9249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BF4EAA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BF4EAA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F4EA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D5C7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F4EA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thể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tích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gói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hủy;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F6D7E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DF6D7E">
        <w:rPr>
          <w:rFonts w:ascii="Arial" w:eastAsia="Times New Roman" w:hAnsi="Arial" w:cs="Arial"/>
          <w:sz w:val="20"/>
          <w:szCs w:val="20"/>
          <w:highlight w:val="white"/>
        </w:rPr>
        <w:t xml:space="preserve">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(PIF)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doanh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(PIF)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nặng.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hữu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e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rõ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(nếu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dụng;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hữu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dừng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kèm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F9249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D5A8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Cổng 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B587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 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13485.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916DB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B48E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4442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ISO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13485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giới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085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chất;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 l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9B5D8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  <w:lang w:val="en-SG"/>
        </w:rPr>
        <w:t xml:space="preserve">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còn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04D91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C62FD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chuẩ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tẩy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B587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 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 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 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đảm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hợp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 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E25F9E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giấ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khẩu;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3218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 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phiếu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tiếp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chuẩn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550B4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loại 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D2F2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kèm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tài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51B8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B587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 đổi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vấn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78a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78a.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tế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996D17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kèm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phần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yêu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hữu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965F9C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hữ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đây: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lưu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chưa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kê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khai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D5A8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Cổng 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B6C81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củ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mua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bán.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D2F2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tế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bệnh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bệnh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tế;’’;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-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chuyên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D2F2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Chánh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-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đình;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dược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42.000.000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975AA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29.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C6DA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trạm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04D7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Cô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074F2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khẩu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xuất;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quốc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huyện;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E280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958A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hội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 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8312B2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5F0E6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gồm: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 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958AA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hội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E280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9F5E2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-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sắt;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 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đường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nhũng,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tế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</w:t>
      </w:r>
      <w:r>
        <w:rPr>
          <w:rFonts w:ascii="Arial" w:eastAsia="Times New Roman" w:hAnsi="Arial" w:cs="Arial"/>
          <w:sz w:val="20"/>
          <w:szCs w:val="20"/>
          <w:highlight w:val="white"/>
          <w:lang w:val="en-SG"/>
        </w:rPr>
        <w:t xml:space="preserve">ô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Thủy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D526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hội;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phòng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môi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trường;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nhũng,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E927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ương;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hình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sự,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soát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hữu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tuệ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buôn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lậu;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 xml:space="preserve">32. Sửa đổi, bổ sung một số khoản của Điều 108 như 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khẩu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cảng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3a.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849E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</w:t>
      </w:r>
      <w:r w:rsidRPr="00C709A9" w:rsidR="00F849E8">
        <w:rPr>
          <w:rFonts w:ascii="Arial" w:eastAsia="Times New Roman" w:hAnsi="Arial" w:cs="Arial"/>
          <w:sz w:val="20"/>
          <w:szCs w:val="20"/>
          <w:highlight w:val="white"/>
        </w:rPr>
        <w:t xml:space="preserve">ố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cáo;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F849E8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F849E8">
        <w:rPr>
          <w:rFonts w:ascii="Arial" w:eastAsia="Times New Roman" w:hAnsi="Arial" w:cs="Arial"/>
          <w:sz w:val="20"/>
          <w:szCs w:val="20"/>
          <w:highlight w:val="white"/>
        </w:rPr>
        <w:t xml:space="preserve">ế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4A0B1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cấp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tỉnh,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C6DA3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875C3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trinh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tội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túy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0C2598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18.000.000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dân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chữa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bệnh,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dược,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đoạn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mở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đầu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Vùng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</w:t>
      </w:r>
      <w:r>
        <w:rPr>
          <w:rFonts w:ascii="Arial" w:eastAsia="Times New Roman" w:hAnsi="Arial" w:cs="Arial"/>
          <w:sz w:val="20"/>
          <w:szCs w:val="20"/>
          <w:highlight w:val="white"/>
          <w:lang w:val="en-SG"/>
        </w:rPr>
        <w:t xml:space="preserve">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4E280D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trưởn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Nghiệp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thuộc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Bộ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lệnh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Việt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Nam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quyền: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B07E0E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B07E0E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b1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giấy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phép,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chỉ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AC6E32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34.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54944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6A68A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dự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phòng,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chống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HIV/AIDS;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</w:t>
      </w:r>
      <w:r w:rsidRPr="00C709A9" w:rsidR="0061729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Luật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37.500.000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8A32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5F0D7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23218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 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 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52.500.000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vật,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phương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vượt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105.000.000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đồng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tế;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36.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 w:rsidR="00600B1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đổi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34,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35,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36,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37,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64,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71,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A1255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D36FC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Cảnh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</w:t>
      </w:r>
      <w:r w:rsidRPr="00C709A9" w:rsidR="00617297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C78A5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23;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3A2D23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;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c)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Sửa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đổi,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bổ sung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như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sau: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Người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D97D73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Văn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hóa,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F4EAA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Thể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lịch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lập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biên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khắc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phục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hậu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năng,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vụ,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được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giao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theo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25,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50,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67,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78,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96,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e,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này.</w:t>
      </w:r>
      <w:r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152E36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thế,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bãi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bỏ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một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115/2018/NĐ-CP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2018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117/2020/NĐ-CP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tế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Thay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thế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Kiến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BC78A5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thẩ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quyền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hồi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bằng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cụm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“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Buộc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nộp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lại</w:t>
      </w:r>
      <w:r w:rsidR="007F55E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”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70;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71;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76;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77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117/2020/NĐ-CP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03A4A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Bã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115/2018/NĐ-CP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04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2018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phẩm.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03A4A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Bã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bỏ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39;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4,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6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72;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73;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74;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75;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78;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5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107;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khoản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3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số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117/2020/NĐ-CP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28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9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2020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của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phủ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Điều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4.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b/>
          <w:bCs/>
          <w:sz w:val="20"/>
          <w:szCs w:val="20"/>
          <w:highlight w:val="white"/>
          <w:u w:color="FF0000"/>
          <w:lang w:val="vi-VN"/>
        </w:rPr>
        <w:t xml:space="preserve"> </w:t>
      </w:r>
      <w:r w:rsidRPr="00C709A9">
        <w:rPr>
          <w:rFonts w:ascii="Arial" w:eastAsia="Times New Roman" w:hAnsi="Arial" w:cs="Arial"/>
          <w:b/>
          <w:bCs/>
          <w:sz w:val="20"/>
          <w:szCs w:val="20"/>
          <w:highlight w:val="white"/>
          <w:lang w:val="vi-VN"/>
        </w:rPr>
        <w:t xml:space="preserve">hành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1.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từ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tháng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01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năm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2022.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2.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Đối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chính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trong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lĩnh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tế,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an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toàn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7C5E6B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phẩm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xảy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ra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trước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lực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hành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mà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sau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đó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mới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bị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hiện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đang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xem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xét,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giải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quyết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thì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dụng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về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xử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phạt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tại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nếu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Nghị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này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không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hoặc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quy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định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trách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nhiệm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pháp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lý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nhẹ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hơn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cho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nhân,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tổ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chức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vi</w:t>
      </w:r>
      <w:r w:rsidRPr="00C709A9" w:rsidR="00506B10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phạm.</w:t>
      </w:r>
    </w:p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b/>
          <w:sz w:val="20"/>
          <w:szCs w:val="20"/>
          <w:highlight w:val="white"/>
          <w:lang w:val="vi-VN"/>
        </w:rPr>
        <w:t xml:space="preserve">Điều 5. Trách nhiệm thi hành</w:t>
      </w:r>
    </w:p>
    <w:p>
      <w:pPr>
        <w:adjustRightInd w:val="0"/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Các Bộ trưởng, Thủ trưởng cơ quan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ngang bộ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 Thủ trưởng cơ quan thuộc Chính phủ, 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Chủ tịch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</w:t>
      </w:r>
      <w:r w:rsidRPr="00C709A9" w:rsidR="001D3ED1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Ủy ban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 nhân dân tỉnh, thành phố trực thuộc trung ương và các </w:t>
      </w:r>
      <w:r w:rsidRPr="00C709A9" w:rsidR="002C536F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tổ</w:t>
      </w:r>
      <w:r w:rsidRPr="00C709A9">
        <w:rPr>
          <w:rFonts w:ascii="Arial" w:eastAsia="Times New Roman" w:hAnsi="Arial" w:cs="Arial"/>
          <w:sz w:val="20"/>
          <w:szCs w:val="20"/>
          <w:highlight w:val="white"/>
          <w:u w:color="FF0000"/>
          <w:lang w:val="vi-VN"/>
        </w:rPr>
        <w:t xml:space="preserve"> chức</w:t>
      </w:r>
      <w:r w:rsidRPr="00C709A9">
        <w:rPr>
          <w:rFonts w:ascii="Arial" w:eastAsia="Times New Roman" w:hAnsi="Arial" w:cs="Arial"/>
          <w:sz w:val="20"/>
          <w:szCs w:val="20"/>
          <w:highlight w:val="white"/>
          <w:lang w:val="vi-VN"/>
        </w:rPr>
        <w:t xml:space="preserve">, cá nhân có liên quan chịu trách nhiệm thi hành Nghị định này.</w:t>
      </w:r>
    </w:p>
    <w:p>
      <w:pPr>
        <w:adjustRightInd w:val="0"/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highlight w:val="white"/>
          <w:lang w:val="vi-VN"/>
        </w:rPr>
      </w:pPr>
    </w:p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5480"/>
        <w:gridCol w:w="3526"/>
      </w:tblGrid>
      <w:tr w:rsidTr="001D3ED1">
        <w:trPr>
          <w:trHeight w:val="659"/>
          <w:jc w:val="center"/>
        </w:trPr>
        <w:tc>
          <w:tcPr>
            <w:tcW w:w="5480" w:type="dxa"/>
          </w:tcPr>
          <w:p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highlight w:val="white"/>
                <w:lang w:val="vi-VN"/>
              </w:rPr>
            </w:pPr>
            <w:r w:rsidRPr="00C709A9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highlight w:val="white"/>
                <w:u w:color="FF0000"/>
                <w:lang w:val="vi-VN"/>
              </w:rPr>
              <w:t xml:space="preserve">Nơi nhận</w:t>
            </w:r>
            <w:r w:rsidRPr="00C709A9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highlight w:val="white"/>
                <w:lang w:val="vi-VN"/>
              </w:rPr>
              <w:t xml:space="preserve">: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Ban Bí thư Trung ương Đảng;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Thủ tướ</w:t>
            </w:r>
            <w:r w:rsidRPr="00C709A9" w:rsidR="000B0C4B">
              <w:rPr>
                <w:rFonts w:ascii="Arial" w:hAnsi="Arial" w:cs="Arial"/>
                <w:sz w:val="20"/>
                <w:szCs w:val="20"/>
                <w:highlight w:val="white"/>
              </w:rPr>
              <w:t xml:space="preserve">ng, các Phó Thủ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tướng Chính phủ;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Các bộ, cơ quan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ngang bộ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, cơ quan thuộc Chính phủ;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HĐND, UBND các tỉ</w:t>
            </w:r>
            <w:r w:rsidRPr="00C709A9" w:rsidR="003232F0">
              <w:rPr>
                <w:rFonts w:ascii="Arial" w:hAnsi="Arial" w:cs="Arial"/>
                <w:sz w:val="20"/>
                <w:szCs w:val="20"/>
                <w:highlight w:val="white"/>
              </w:rPr>
              <w:t xml:space="preserve">nh, thành phố trực thuộc Trung ư</w:t>
            </w:r>
            <w:r w:rsidRPr="00C709A9" w:rsidR="001D3ED1">
              <w:rPr>
                <w:rFonts w:ascii="Arial" w:hAnsi="Arial" w:cs="Arial"/>
                <w:sz w:val="20"/>
                <w:szCs w:val="20"/>
                <w:highlight w:val="white"/>
              </w:rPr>
              <w:t xml:space="preserve">ơng;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Trung ương và các Ban củ</w:t>
            </w:r>
            <w:r w:rsidRPr="00C709A9" w:rsidR="00A822AD">
              <w:rPr>
                <w:rFonts w:ascii="Arial" w:hAnsi="Arial" w:cs="Arial"/>
                <w:sz w:val="20"/>
                <w:szCs w:val="20"/>
                <w:highlight w:val="white"/>
              </w:rPr>
              <w:t xml:space="preserve">a Đả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ng;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Tổng Bí thư;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Chủ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tịch nước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Hội đồng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Dân tộc và các </w:t>
            </w:r>
            <w:r w:rsidRPr="00C709A9" w:rsidR="001D3ED1">
              <w:rPr>
                <w:rFonts w:ascii="Arial" w:hAnsi="Arial" w:cs="Arial"/>
                <w:sz w:val="20"/>
                <w:szCs w:val="20"/>
                <w:highlight w:val="white"/>
              </w:rPr>
              <w:t xml:space="preserve">Ủy ban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của Quốc hội;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 Quốc hội;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Toà án nhân dân tối cao;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Viện kiểm sát nhân dân tối cao;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hAnsi="Arial" w:cs="Arial"/>
                <w:sz w:val="20"/>
                <w:szCs w:val="20"/>
                <w:highlight w:val="white"/>
              </w:rPr>
              <w:t xml:space="preserve">- Kiểm toán nhà nước;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</w:t>
            </w:r>
            <w:r w:rsidRPr="00C709A9" w:rsidR="001D3ED1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Ủy ban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 Giám sát tài chính Quốc gia;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Ngân hàng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 Chính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sách </w:t>
            </w:r>
            <w:r w:rsidRPr="00C709A9" w:rsidR="00F958AA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xã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 hội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;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Ngân hàng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 Phát triển Việt Nam;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</w:t>
            </w:r>
            <w:r w:rsidRPr="00C709A9" w:rsidR="001D3ED1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Ủy ban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 trung ương Mặt trận Tổ quốc Việt Nam;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Cơ quan trung ương của các đoàn </w:t>
            </w:r>
            <w:r w:rsidRPr="00C709A9" w:rsidR="00E31E0A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thể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;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white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 VPCP: BTCN, các PCN,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u w:color="FF0000"/>
                <w:lang w:val="vi-VN"/>
              </w:rPr>
              <w:t xml:space="preserve">Trợ lý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 TTg, TGĐ </w:t>
            </w:r>
            <w:r w:rsidRPr="00C709A9" w:rsidR="001D3ED1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C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ổng TTĐT, các Vụ, Cục, đơn vị trực thuộc, Công báo;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-</w:t>
            </w:r>
            <w:r w:rsidRPr="00C709A9" w:rsidR="00552D4C">
              <w:rPr>
                <w:rFonts w:ascii="Arial" w:eastAsia="Times New Roman" w:hAnsi="Arial" w:cs="Arial"/>
                <w:sz w:val="20"/>
                <w:szCs w:val="20"/>
                <w:highlight w:val="white"/>
              </w:rPr>
              <w:t xml:space="preserve">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  <w:lang w:val="vi-VN"/>
              </w:rPr>
              <w:t xml:space="preserve">Lưu: VT, KGVX </w:t>
            </w:r>
            <w:r w:rsidRPr="00C709A9">
              <w:rPr>
                <w:rFonts w:ascii="Arial" w:eastAsia="Times New Roman" w:hAnsi="Arial" w:cs="Arial"/>
                <w:sz w:val="20"/>
                <w:szCs w:val="20"/>
                <w:highlight w:val="white"/>
              </w:rPr>
              <w:t xml:space="preserve">(2b).</w:t>
            </w:r>
          </w:p>
        </w:tc>
        <w:tc>
          <w:tcPr>
            <w:tcW w:w="3526" w:type="dxa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  <w:r w:rsidRPr="00C709A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  <w:t xml:space="preserve">TM. CHÍNH PHỦ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</w:rPr>
              <w:t xml:space="preserve">KT. </w:t>
            </w:r>
            <w:r w:rsidRPr="00C709A9" w:rsidR="003232F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  <w:t xml:space="preserve">THỦ TƯỚNG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  <w:r w:rsidRPr="00C709A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</w:rPr>
              <w:t xml:space="preserve">PHÓ THỦ </w:t>
            </w:r>
            <w:r w:rsidRPr="00C709A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  <w:t xml:space="preserve">TƯỚNG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C709A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white"/>
                <w:lang w:val="vi-VN"/>
              </w:rPr>
              <w:t xml:space="preserve">Vũ Đức Đam</w:t>
            </w:r>
          </w:p>
        </w:tc>
      </w:tr>
    </w:tbl>
    <w:p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Sect="00DD3D83">
      <w:headerReference w:type="default" r:id="rId3"/>
      <w:footerReference w:type="default" r:id="rId4"/>
      <w:pgSz w:w="11906" w:h="16838" w:orient="portrait" w:code="9"/>
      <w:pgMar w:top="1440" w:right="1440" w:bottom="1440" w:left="1440" w:header="800" w:footer="800" w:gutter="0"/>
      <w:cols w:num="1" w:space="720">
        <w:col w:w="9026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2AEF" w:usb1="4000207B" w:usb2="00000000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40"/>
  <w:bordersDoNotSurroundFooter/>
  <w:bordersDoNotSurroundHeader/>
  <w:proofState w:grammar="clean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SG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0">
    <w:name w:val="other0"/>
    <w:basedOn w:val="Normal"/>
    <w:rsid w:val="0015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ther">
    <w:name w:val="other"/>
    <w:rsid w:val="00152E36"/>
    <w:rPr/>
  </w:style>
  <w:style w:type="paragraph" w:customStyle="1" w:styleId="tablecaption0">
    <w:name w:val="tablecaption0"/>
    <w:basedOn w:val="Normal"/>
    <w:rsid w:val="0015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ablecaption">
    <w:name w:val="tablecaption"/>
    <w:rsid w:val="00152E36"/>
    <w:rPr/>
  </w:style>
  <w:style w:type="paragraph" w:styleId="BodyText">
    <w:name w:val="Body Text"/>
    <w:basedOn w:val="Normal"/>
    <w:uiPriority w:val="99"/>
    <w:semiHidden/>
    <w:unhideWhenUsed/>
    <w:rsid w:val="0015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rsid w:val="00152E3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textchar1"/>
    <w:rsid w:val="00152E36"/>
    <w:rPr/>
  </w:style>
  <w:style w:type="paragraph" w:customStyle="1" w:styleId="bodytext40">
    <w:name w:val="bodytext40"/>
    <w:basedOn w:val="Normal"/>
    <w:rsid w:val="0015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text4"/>
    <w:rsid w:val="00152E36"/>
    <w:rPr/>
  </w:style>
  <w:style w:type="paragraph" w:styleId="Header">
    <w:name w:val="Header"/>
    <w:basedOn w:val="Normal"/>
    <w:uiPriority w:val="99"/>
    <w:unhideWhenUsed/>
    <w:rsid w:val="00DD3D83"/>
    <w:pPr>
      <w:tabs>
        <w:tab w:val="center" w:pos="4513"/>
        <w:tab w:val="right" w:pos="9026"/>
      </w:tabs>
      <w:spacing w:after="0" w:line="240" w:lineRule="auto"/>
    </w:pPr>
    <w:rPr/>
  </w:style>
  <w:style w:type="character" w:customStyle="1" w:styleId="HeaderChar">
    <w:name w:val="Header Char"/>
    <w:basedOn w:val="DefaultParagraphFont"/>
    <w:uiPriority w:val="99"/>
    <w:rsid w:val="00DD3D83"/>
    <w:rPr>
      <w:sz w:val="22"/>
      <w:szCs w:val="22"/>
      <w:lang w:val="en-US" w:eastAsia="en-US"/>
    </w:rPr>
  </w:style>
  <w:style w:type="paragraph" w:styleId="Footer">
    <w:name w:val="Footer"/>
    <w:basedOn w:val="Normal"/>
    <w:uiPriority w:val="99"/>
    <w:unhideWhenUsed/>
    <w:qFormat/>
    <w:rsid w:val="00DD3D83"/>
    <w:pPr>
      <w:tabs>
        <w:tab w:val="center" w:pos="4513"/>
        <w:tab w:val="right" w:pos="9026"/>
      </w:tabs>
      <w:spacing w:after="0" w:line="240" w:lineRule="auto"/>
    </w:pPr>
    <w:rPr/>
  </w:style>
  <w:style w:type="character" w:customStyle="1" w:styleId="FooterChar">
    <w:name w:val="Footer Char"/>
    <w:basedOn w:val="DefaultParagraphFont"/>
    <w:uiPriority w:val="99"/>
    <w:rsid w:val="00DD3D83"/>
    <w:rPr>
      <w:sz w:val="22"/>
      <w:szCs w:val="22"/>
      <w:lang w:val="en-US" w:eastAsia="en-US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2024-04-16T06:40:00Z</dcterms:created>
  <dcterms:modified xsi:type="dcterms:W3CDTF">2024-04-16T06:40:00Z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10887</Words>
  <Characters>62058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22</Pages>
  <Words>10887</Words>
  <Characters>62058</Characters>
  <Application>Microsoft Office Word</Application>
  <DocSecurity>0</DocSecurity>
  <Lines>517</Lines>
  <Paragraphs>145</Paragraphs>
  <CharactersWithSpaces>72800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dcterms:created xsi:type="dcterms:W3CDTF">2024-04-16T06:40:00Z</dcterms:created>
  <dcterms:modified xsi:type="dcterms:W3CDTF">2024-04-16T06:40:00Z</dcterms:modified>
</cp:coreProperties>
</file>