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646"/>
      </w:tblGrid>
      <w:tr w:rsidR="000329E1" w14:paraId="74BAE27C" w14:textId="77777777" w:rsidTr="000329E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AB049" w14:textId="77777777" w:rsidR="000329E1" w:rsidRDefault="000329E1">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THÀNH PHỐ CẦN THƠ</w:t>
            </w:r>
            <w:r>
              <w:rPr>
                <w:rFonts w:ascii="Arial" w:hAnsi="Arial" w:cs="Arial"/>
                <w:b/>
                <w:bCs/>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9C081" w14:textId="77777777" w:rsidR="000329E1" w:rsidRDefault="000329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329E1" w14:paraId="3D1853F0" w14:textId="77777777" w:rsidTr="000329E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FB625" w14:textId="77777777" w:rsidR="000329E1" w:rsidRDefault="000329E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27/2011/QĐ-UBND</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B7019" w14:textId="77777777" w:rsidR="000329E1" w:rsidRDefault="000329E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Cần Thơ, ngày 09 tháng 9 năm 2011</w:t>
            </w:r>
          </w:p>
        </w:tc>
      </w:tr>
    </w:tbl>
    <w:p w14:paraId="6958E465" w14:textId="77777777" w:rsidR="000329E1" w:rsidRDefault="000329E1" w:rsidP="000329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23ED81A" w14:textId="77777777" w:rsidR="000329E1" w:rsidRDefault="000329E1" w:rsidP="000329E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SỬA ĐỔI, BỔ SUNG QUYẾT ĐỊNH SỐ 49/2009/QĐ-UBND NGÀY 07 THÁNG 9 NĂM 2009 CỦA ỦY BAN NHÂN DÂN THÀNH PHỐ CẦN THƠ VỀ VIỆC QUY ĐỊNH DIỆN TÍCH TỐI THIỂU ĐƯỢC TÁCH THỬA ĐỐI VỚI TỪNG LOẠI ĐẤT</w:t>
      </w:r>
    </w:p>
    <w:p w14:paraId="0FF51605"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BAN NHÂN DÂN THÀNH PHỐ CẦN THƠ</w:t>
      </w:r>
    </w:p>
    <w:p w14:paraId="485A769D"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Hội đồng nhân dân và Ủy ban nhân dân</w:t>
        </w:r>
      </w:hyperlink>
      <w:r>
        <w:rPr>
          <w:rStyle w:val="Emphasis"/>
          <w:rFonts w:ascii="Arial" w:hAnsi="Arial" w:cs="Arial"/>
          <w:color w:val="000000"/>
          <w:sz w:val="21"/>
          <w:szCs w:val="21"/>
        </w:rPr>
        <w:t> ngày 26 tháng 11 năm 2003;</w:t>
      </w:r>
    </w:p>
    <w:p w14:paraId="518532BC"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Đất đai </w:t>
        </w:r>
      </w:hyperlink>
      <w:r>
        <w:rPr>
          <w:rStyle w:val="Emphasis"/>
          <w:rFonts w:ascii="Arial" w:hAnsi="Arial" w:cs="Arial"/>
          <w:color w:val="000000"/>
          <w:sz w:val="21"/>
          <w:szCs w:val="21"/>
        </w:rPr>
        <w:t>ngày 26 tháng 11 năm 2003;</w:t>
      </w:r>
    </w:p>
    <w:p w14:paraId="7DF83DFF"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Xây dựng</w:t>
        </w:r>
      </w:hyperlink>
      <w:r>
        <w:rPr>
          <w:rStyle w:val="Emphasis"/>
          <w:rFonts w:ascii="Arial" w:hAnsi="Arial" w:cs="Arial"/>
          <w:color w:val="000000"/>
          <w:sz w:val="21"/>
          <w:szCs w:val="21"/>
        </w:rPr>
        <w:t> năm 2003;</w:t>
      </w:r>
    </w:p>
    <w:p w14:paraId="376F4876"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w:t>
      </w:r>
      <w:hyperlink r:id="rId10" w:history="1">
        <w:r>
          <w:rPr>
            <w:rStyle w:val="Hyperlink"/>
            <w:rFonts w:ascii="Arial" w:hAnsi="Arial" w:cs="Arial"/>
            <w:i/>
            <w:iCs/>
            <w:color w:val="135ECD"/>
            <w:sz w:val="21"/>
            <w:szCs w:val="21"/>
          </w:rPr>
          <w:t>181/2004/NĐ-CP</w:t>
        </w:r>
      </w:hyperlink>
      <w:r>
        <w:rPr>
          <w:rStyle w:val="Emphasis"/>
          <w:rFonts w:ascii="Arial" w:hAnsi="Arial" w:cs="Arial"/>
          <w:color w:val="000000"/>
          <w:sz w:val="21"/>
          <w:szCs w:val="21"/>
        </w:rPr>
        <w:t> ngày 29 tháng 10 năm 2004 của Chính phủ về thi hành Luật Đất đai;</w:t>
      </w:r>
    </w:p>
    <w:p w14:paraId="433BB534"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84/2007/NĐ-CP </w:t>
        </w:r>
      </w:hyperlink>
      <w:r>
        <w:rPr>
          <w:rStyle w:val="Emphasis"/>
          <w:rFonts w:ascii="Arial" w:hAnsi="Arial" w:cs="Arial"/>
          <w:color w:val="000000"/>
          <w:sz w:val="21"/>
          <w:szCs w:val="21"/>
        </w:rPr>
        <w:t>ngày 25 tháng 5 năm 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w:t>
      </w:r>
    </w:p>
    <w:p w14:paraId="64A359AA"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Nghị định số </w:t>
      </w:r>
      <w:hyperlink r:id="rId12" w:history="1">
        <w:r>
          <w:rPr>
            <w:rStyle w:val="Hyperlink"/>
            <w:rFonts w:ascii="Arial" w:hAnsi="Arial" w:cs="Arial"/>
            <w:i/>
            <w:iCs/>
            <w:color w:val="135ECD"/>
            <w:sz w:val="21"/>
            <w:szCs w:val="21"/>
          </w:rPr>
          <w:t>88/2009/NĐ-CP</w:t>
        </w:r>
      </w:hyperlink>
      <w:r>
        <w:rPr>
          <w:rStyle w:val="Emphasis"/>
          <w:rFonts w:ascii="Arial" w:hAnsi="Arial" w:cs="Arial"/>
          <w:color w:val="000000"/>
          <w:sz w:val="21"/>
          <w:szCs w:val="21"/>
        </w:rPr>
        <w:t> ngày 19 tháng 10 năm 2009 về cấp Giấy chứng nhận quyền sử dụng đất, quyền sở hữu nhà ở và tài sản khác gắn liền với đất;</w:t>
      </w:r>
    </w:p>
    <w:p w14:paraId="69B3BD6D"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history="1">
        <w:r>
          <w:rPr>
            <w:rStyle w:val="Hyperlink"/>
            <w:rFonts w:ascii="Arial" w:hAnsi="Arial" w:cs="Arial"/>
            <w:i/>
            <w:iCs/>
            <w:color w:val="135ECD"/>
            <w:sz w:val="21"/>
            <w:szCs w:val="21"/>
          </w:rPr>
          <w:t>69/2009/NĐ-CP</w:t>
        </w:r>
      </w:hyperlink>
      <w:r>
        <w:rPr>
          <w:rStyle w:val="Emphasis"/>
          <w:rFonts w:ascii="Arial" w:hAnsi="Arial" w:cs="Arial"/>
          <w:color w:val="000000"/>
          <w:sz w:val="21"/>
          <w:szCs w:val="21"/>
        </w:rPr>
        <w:t> ngày 13 tháng 8 năm 2009 của Chính phủ quy định bổ sung về quy hoạch sử dụng đất, giá đất, thu hồi đất, bồi thường, hỗ trợ và tái định cư;</w:t>
      </w:r>
    </w:p>
    <w:p w14:paraId="2F76E34D"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Thông tư số </w:t>
      </w:r>
      <w:hyperlink r:id="rId14" w:history="1">
        <w:r>
          <w:rPr>
            <w:rStyle w:val="Hyperlink"/>
            <w:rFonts w:ascii="Arial" w:hAnsi="Arial" w:cs="Arial"/>
            <w:i/>
            <w:iCs/>
            <w:color w:val="135ECD"/>
            <w:sz w:val="21"/>
            <w:szCs w:val="21"/>
          </w:rPr>
          <w:t>06/2007/TT-BTNMT</w:t>
        </w:r>
      </w:hyperlink>
      <w:r>
        <w:rPr>
          <w:rStyle w:val="Emphasis"/>
          <w:rFonts w:ascii="Arial" w:hAnsi="Arial" w:cs="Arial"/>
          <w:color w:val="000000"/>
          <w:sz w:val="21"/>
          <w:szCs w:val="21"/>
        </w:rPr>
        <w:t> ngày 15 tháng 6 năm 2007 của Bộ Tài nguyên và Môi trường hướng dẫn thực hiện một số điều của Nghị định số </w:t>
      </w:r>
      <w:hyperlink r:id="rId15" w:history="1">
        <w:r>
          <w:rPr>
            <w:rStyle w:val="Hyperlink"/>
            <w:rFonts w:ascii="Arial" w:hAnsi="Arial" w:cs="Arial"/>
            <w:i/>
            <w:iCs/>
            <w:color w:val="135ECD"/>
            <w:sz w:val="21"/>
            <w:szCs w:val="21"/>
          </w:rPr>
          <w:t>84/2007/NĐ-CP</w:t>
        </w:r>
      </w:hyperlink>
      <w:r>
        <w:rPr>
          <w:rStyle w:val="Emphasis"/>
          <w:rFonts w:ascii="Arial" w:hAnsi="Arial" w:cs="Arial"/>
          <w:color w:val="000000"/>
          <w:sz w:val="21"/>
          <w:szCs w:val="21"/>
        </w:rPr>
        <w:t> ngày 25 tháng 5 năm 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w:t>
      </w:r>
    </w:p>
    <w:p w14:paraId="7EFADF9B"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Thông tư số </w:t>
      </w:r>
      <w:hyperlink r:id="rId16" w:history="1">
        <w:r>
          <w:rPr>
            <w:rStyle w:val="Hyperlink"/>
            <w:rFonts w:ascii="Arial" w:hAnsi="Arial" w:cs="Arial"/>
            <w:i/>
            <w:iCs/>
            <w:color w:val="135ECD"/>
            <w:sz w:val="21"/>
            <w:szCs w:val="21"/>
          </w:rPr>
          <w:t>17/2009/TT-BTNMT</w:t>
        </w:r>
      </w:hyperlink>
      <w:r>
        <w:rPr>
          <w:rStyle w:val="Emphasis"/>
          <w:rFonts w:ascii="Arial" w:hAnsi="Arial" w:cs="Arial"/>
          <w:color w:val="000000"/>
          <w:sz w:val="21"/>
          <w:szCs w:val="21"/>
        </w:rPr>
        <w:t xml:space="preserve"> ngày 21 tháng 10 năm 2009 quy định về Giấy chứng nhận quyền sử dụng đất, quyền sở hữu nhà ở và tài sản khác gắn liền với đất và Thông tư </w:t>
      </w:r>
      <w:r>
        <w:rPr>
          <w:rStyle w:val="Emphasis"/>
          <w:rFonts w:ascii="Arial" w:hAnsi="Arial" w:cs="Arial"/>
          <w:color w:val="000000"/>
          <w:sz w:val="21"/>
          <w:szCs w:val="21"/>
        </w:rPr>
        <w:lastRenderedPageBreak/>
        <w:t>số </w:t>
      </w:r>
      <w:hyperlink r:id="rId17" w:history="1">
        <w:r>
          <w:rPr>
            <w:rStyle w:val="Hyperlink"/>
            <w:rFonts w:ascii="Arial" w:hAnsi="Arial" w:cs="Arial"/>
            <w:i/>
            <w:iCs/>
            <w:color w:val="135ECD"/>
            <w:sz w:val="21"/>
            <w:szCs w:val="21"/>
          </w:rPr>
          <w:t>20/2010/TT-BTNMT</w:t>
        </w:r>
      </w:hyperlink>
      <w:r>
        <w:rPr>
          <w:rStyle w:val="Emphasis"/>
          <w:rFonts w:ascii="Arial" w:hAnsi="Arial" w:cs="Arial"/>
          <w:color w:val="000000"/>
          <w:sz w:val="21"/>
          <w:szCs w:val="21"/>
        </w:rPr>
        <w:t> ngày 22 tháng 10 năm 2010 quy định bổ sung về Giấy chứng nhận quyền sử dụng đất, quyền sở hữu nhà ở và tài sản khác gắn liền với đất;</w:t>
      </w:r>
    </w:p>
    <w:p w14:paraId="796126F4"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Thông tư số </w:t>
      </w:r>
      <w:hyperlink r:id="rId18" w:history="1">
        <w:r>
          <w:rPr>
            <w:rStyle w:val="Hyperlink"/>
            <w:rFonts w:ascii="Arial" w:hAnsi="Arial" w:cs="Arial"/>
            <w:i/>
            <w:iCs/>
            <w:color w:val="135ECD"/>
            <w:sz w:val="21"/>
            <w:szCs w:val="21"/>
          </w:rPr>
          <w:t>14/2009/TT-BTNMT</w:t>
        </w:r>
      </w:hyperlink>
      <w:r>
        <w:rPr>
          <w:rStyle w:val="Emphasis"/>
          <w:rFonts w:ascii="Arial" w:hAnsi="Arial" w:cs="Arial"/>
          <w:color w:val="000000"/>
          <w:sz w:val="21"/>
          <w:szCs w:val="21"/>
        </w:rPr>
        <w:t> ngày 01 tháng 10 năm 2009 quy định chi tiết về bồi thường, hỗ trợ, tái định cư và trình tự, thủ tục thu hồi đất, giao đất, cho thuê đất;</w:t>
      </w:r>
    </w:p>
    <w:p w14:paraId="1F206357"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w:t>
      </w:r>
      <w:hyperlink r:id="rId19" w:history="1">
        <w:r>
          <w:rPr>
            <w:rStyle w:val="Hyperlink"/>
            <w:rFonts w:ascii="Arial" w:hAnsi="Arial" w:cs="Arial"/>
            <w:i/>
            <w:iCs/>
            <w:color w:val="135ECD"/>
            <w:sz w:val="21"/>
            <w:szCs w:val="21"/>
          </w:rPr>
          <w:t>04/2008/QĐ-BXD</w:t>
        </w:r>
      </w:hyperlink>
      <w:r>
        <w:rPr>
          <w:rStyle w:val="Emphasis"/>
          <w:rFonts w:ascii="Arial" w:hAnsi="Arial" w:cs="Arial"/>
          <w:color w:val="000000"/>
          <w:sz w:val="21"/>
          <w:szCs w:val="21"/>
        </w:rPr>
        <w:t> ngày 03 tháng 4 năm 2008 của Bộ Xây dựng về việc ban hành Quy chuẩn kỹ thuật Quốc gia về quy hoạch xây dựng;</w:t>
      </w:r>
    </w:p>
    <w:p w14:paraId="388FCE75"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Giám đốc Sở Tài nguyên và Môi trường,</w:t>
      </w:r>
    </w:p>
    <w:p w14:paraId="7FF02DC6" w14:textId="77777777" w:rsidR="000329E1" w:rsidRDefault="000329E1" w:rsidP="000329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C190BE0"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Sửa đổi, bổ sung Quyết định số 49/2009/QĐ-UBND ngày 07 tháng 9 năm 2009 của Ủy ban nhân dân thành phố Cần Thơ về việc quy định diện tích tối thiểu được tách thửa đối với từng loại đất trên địa bàn thành phố Cần Thơ, cụ thể như sau:</w:t>
      </w:r>
    </w:p>
    <w:p w14:paraId="27E96F76"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Sửa đổi điểm đ khoản 2, Điều 1:</w:t>
      </w:r>
    </w:p>
    <w:p w14:paraId="4165C89A"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Chuyển quyền sử dụng đất trọn thửa; các trường hợp thừa kế quyền sử dụng đất hoặc thừa kế về nhà ở và tài sản khác gắn liền với quyền sử dụng đất hợp pháp theo quy định của pháp luật.”</w:t>
      </w:r>
    </w:p>
    <w:p w14:paraId="78CD8167"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Bổ sung điểm h vào khoản 2, Điều 1:</w:t>
      </w:r>
    </w:p>
    <w:p w14:paraId="7EEA34DD"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Các trường hợp hòa giải tranh chấp đất đai có kết quả hòa giải thành về tranh chấp đất đai được Ủy ban nhân dân cấp thẩm quyền công nhận; quyết định hành chính của cơ quan nhà nước có thẩm quyền về giải quyết tranh chấp đất đai, khiếu nại, tố cáo về đất đai; quyết định hoặc bản án của Tòa án nhân dân đã có hiệu lực, quyết định thi hành của Cơ quan Thi hành án dân sự.”</w:t>
      </w:r>
    </w:p>
    <w:p w14:paraId="79FB0A94"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Sửa đổi khoản 3, Điều 4:  </w:t>
      </w:r>
    </w:p>
    <w:p w14:paraId="2ED1B931"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Đất đã có văn bản về thông báo thu hồi đất theo quy định tại khoản 2 Điều 29 Nghị định số </w:t>
      </w:r>
      <w:hyperlink r:id="rId20" w:history="1">
        <w:r>
          <w:rPr>
            <w:rStyle w:val="Hyperlink"/>
            <w:rFonts w:ascii="Arial" w:hAnsi="Arial" w:cs="Arial"/>
            <w:color w:val="135ECD"/>
            <w:sz w:val="21"/>
            <w:szCs w:val="21"/>
          </w:rPr>
          <w:t>69/2009/NĐ-CP</w:t>
        </w:r>
      </w:hyperlink>
      <w:r>
        <w:rPr>
          <w:rFonts w:ascii="Arial" w:hAnsi="Arial" w:cs="Arial"/>
          <w:color w:val="000000"/>
          <w:sz w:val="21"/>
          <w:szCs w:val="21"/>
        </w:rPr>
        <w:t> ngày 13 tháng 8 năm 2009 của Chính phủ quy định bổ sung về quy hoạch sử dụng đất, giá đất, thu hồi đất, bồi thường, hỗ trợ và tái định cư.”</w:t>
      </w:r>
    </w:p>
    <w:p w14:paraId="3EBA5628"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Sửa đổi điểm b khoản 1 Điều 5:</w:t>
      </w:r>
    </w:p>
    <w:p w14:paraId="0D880FB4"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Đối với loại đất nông nghiệp:</w:t>
      </w:r>
    </w:p>
    <w:p w14:paraId="37CF37B2"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Đối với loại đất nông nghiệp là đất vườn, đất trồng cây lâu năm diện tích tối thiểu được phép tách thửa như sau:</w:t>
      </w:r>
    </w:p>
    <w:p w14:paraId="23987032"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Các phường thuộc quận bằng hoặc lớn hơn một trăm năm mươi mét vuông (150m2); các thị trấn thuộc huyện bằng hoặc lớn hơn hai trăm mét vuông (200m2); các xã thuộc huyện bằng hoặc lớn hơn ba trăm mét vuông (300m2).</w:t>
      </w:r>
    </w:p>
    <w:p w14:paraId="2A150169"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loại đất nông nghiệp là đất trồng lúa, đất trồng cây hàng năm, đất nuôi trồng thủy sản:</w:t>
      </w:r>
    </w:p>
    <w:p w14:paraId="02E3EB6B"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thị trấn thuộc quận, huyện diện tích tối thiểu được phép tách thửa bằng hoặc lớn hơn năm trăm mét vuông (500m2). Các xã của huyện diện tích tối thiểu được phép tách thửa bằng hoặc lớn hơn một ngàn mét vuông (1.000m2).”</w:t>
      </w:r>
    </w:p>
    <w:p w14:paraId="7CCB2C47"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Sửa đổi khoản 1 Điều 6:</w:t>
      </w:r>
    </w:p>
    <w:p w14:paraId="196E99C8"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Diện tích đất được phép tách thửa theo mức quy định tại điểm a, điểm c khoản 1 Điều 5 của Quyết định số </w:t>
      </w:r>
      <w:hyperlink r:id="rId21" w:history="1">
        <w:r>
          <w:rPr>
            <w:rStyle w:val="Hyperlink"/>
            <w:rFonts w:ascii="Arial" w:hAnsi="Arial" w:cs="Arial"/>
            <w:color w:val="135ECD"/>
            <w:sz w:val="21"/>
            <w:szCs w:val="21"/>
          </w:rPr>
          <w:t>49/2009/QĐ-UBND</w:t>
        </w:r>
      </w:hyperlink>
      <w:r>
        <w:rPr>
          <w:rFonts w:ascii="Arial" w:hAnsi="Arial" w:cs="Arial"/>
          <w:color w:val="000000"/>
          <w:sz w:val="21"/>
          <w:szCs w:val="21"/>
        </w:rPr>
        <w:t> không tính phần diện tích đất thuộc hành lang bảo vệ các công trình công cộng. Đối với đất vườn ao liền kề đất ở cùng chung với thửa đất ở, được phép tách thửa theo diện tích tối thiểu được quy định tại điểm a khoản 1 Điều 5 đồng thời với việc chuyển mục đích sử dụng đất.”</w:t>
      </w:r>
    </w:p>
    <w:p w14:paraId="430E4D1F"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Sửa đổi khoản 3 Điều 7:</w:t>
      </w:r>
    </w:p>
    <w:p w14:paraId="16B17256"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tách thửa đất để chuyển quyền sử dụng đất (không thay đổi mục đích sử dụng) được thực hiện đồng thời thủ tục tách thửa đất theo quy định tại Điều 19 của Nghị định số </w:t>
      </w:r>
      <w:hyperlink r:id="rId22" w:history="1">
        <w:r>
          <w:rPr>
            <w:rStyle w:val="Hyperlink"/>
            <w:rFonts w:ascii="Arial" w:hAnsi="Arial" w:cs="Arial"/>
            <w:color w:val="135ECD"/>
            <w:sz w:val="21"/>
            <w:szCs w:val="21"/>
          </w:rPr>
          <w:t>84/2007/NĐ-CP</w:t>
        </w:r>
      </w:hyperlink>
      <w:r>
        <w:rPr>
          <w:rFonts w:ascii="Arial" w:hAnsi="Arial" w:cs="Arial"/>
          <w:color w:val="000000"/>
          <w:sz w:val="21"/>
          <w:szCs w:val="21"/>
        </w:rPr>
        <w:t> ngày 25 tháng 5 năm 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 và thủ tục chuyển quyền sử dụng đất theo quy định tại Điều 18 Nghị định số </w:t>
      </w:r>
      <w:hyperlink r:id="rId23" w:history="1">
        <w:r>
          <w:rPr>
            <w:rStyle w:val="Hyperlink"/>
            <w:rFonts w:ascii="Arial" w:hAnsi="Arial" w:cs="Arial"/>
            <w:color w:val="135ECD"/>
            <w:sz w:val="21"/>
            <w:szCs w:val="21"/>
          </w:rPr>
          <w:t>88/2009/NĐ-CP</w:t>
        </w:r>
      </w:hyperlink>
      <w:r>
        <w:rPr>
          <w:rFonts w:ascii="Arial" w:hAnsi="Arial" w:cs="Arial"/>
          <w:color w:val="000000"/>
          <w:sz w:val="21"/>
          <w:szCs w:val="21"/>
        </w:rPr>
        <w:t> ngày 19 tháng 10 năm 2009 của Chính phủ về cấp Giấy chứng nhận quyền sử dụng đất, quyền sở hữu nhà ở và tài sản khác gắn liền với đất.”</w:t>
      </w:r>
    </w:p>
    <w:p w14:paraId="307BF914"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sau 10 (mười) ngày và đăng Báo Cần Thơ chậm nhất là 05 (năm) ngày, kể từ ngày ký.</w:t>
      </w:r>
    </w:p>
    <w:p w14:paraId="1F0F31B6" w14:textId="77777777" w:rsidR="000329E1" w:rsidRDefault="000329E1" w:rsidP="000329E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Chánh Văn phòng Ủy ban nhân dân thành phố, Giám đốc Sở, Thủ trưởng cơ quan Ban, ngành thành phố, Chủ tịch Ủy ban nhân dân quận, huyện, các cơ quan, đơn vị, tổ chức, hộ gia đình, cá nhân có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21"/>
        <w:gridCol w:w="4683"/>
      </w:tblGrid>
      <w:tr w:rsidR="000329E1" w14:paraId="2D0116E5" w14:textId="77777777" w:rsidTr="000329E1">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2C47F" w14:textId="77777777" w:rsidR="000329E1" w:rsidRDefault="000329E1">
            <w:pPr>
              <w:pStyle w:val="NormalWeb"/>
              <w:spacing w:after="90" w:afterAutospacing="0" w:line="345" w:lineRule="atLeast"/>
              <w:jc w:val="both"/>
              <w:rPr>
                <w:rFonts w:ascii="Arial" w:hAnsi="Arial" w:cs="Arial"/>
                <w:color w:val="000000"/>
                <w:sz w:val="21"/>
                <w:szCs w:val="21"/>
              </w:rPr>
            </w:pPr>
          </w:p>
          <w:p w14:paraId="10690A84" w14:textId="77777777" w:rsidR="000329E1" w:rsidRDefault="000329E1" w:rsidP="000329E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Chính Phủ (HN-TPHCM);</w:t>
            </w:r>
            <w:r>
              <w:rPr>
                <w:rFonts w:ascii="Arial" w:hAnsi="Arial" w:cs="Arial"/>
                <w:color w:val="000000"/>
                <w:sz w:val="21"/>
                <w:szCs w:val="21"/>
              </w:rPr>
              <w:br/>
              <w:t>- Bộ Tư pháp (Cục Kiểm tra VBQPPL);</w:t>
            </w:r>
            <w:r>
              <w:rPr>
                <w:rFonts w:ascii="Arial" w:hAnsi="Arial" w:cs="Arial"/>
                <w:color w:val="000000"/>
                <w:sz w:val="21"/>
                <w:szCs w:val="21"/>
              </w:rPr>
              <w:br/>
              <w:t>- Bộ Xây dựng;</w:t>
            </w:r>
            <w:r>
              <w:rPr>
                <w:rFonts w:ascii="Arial" w:hAnsi="Arial" w:cs="Arial"/>
                <w:color w:val="000000"/>
                <w:sz w:val="21"/>
                <w:szCs w:val="21"/>
              </w:rPr>
              <w:br/>
            </w:r>
            <w:r>
              <w:rPr>
                <w:rFonts w:ascii="Arial" w:hAnsi="Arial" w:cs="Arial"/>
                <w:color w:val="000000"/>
                <w:sz w:val="21"/>
                <w:szCs w:val="21"/>
              </w:rPr>
              <w:lastRenderedPageBreak/>
              <w:t>- Bộ Tài nguyên và Môi trường;</w:t>
            </w:r>
            <w:r>
              <w:rPr>
                <w:rFonts w:ascii="Arial" w:hAnsi="Arial" w:cs="Arial"/>
                <w:color w:val="000000"/>
                <w:sz w:val="21"/>
                <w:szCs w:val="21"/>
              </w:rPr>
              <w:br/>
              <w:t>- TT.Thành ủy, TT.HĐND thành phố;</w:t>
            </w:r>
            <w:r>
              <w:rPr>
                <w:rFonts w:ascii="Arial" w:hAnsi="Arial" w:cs="Arial"/>
                <w:color w:val="000000"/>
                <w:sz w:val="21"/>
                <w:szCs w:val="21"/>
              </w:rPr>
              <w:br/>
              <w:t>- UBMTTQVN, các Đoàn thể thành phố;</w:t>
            </w:r>
            <w:r>
              <w:rPr>
                <w:rFonts w:ascii="Arial" w:hAnsi="Arial" w:cs="Arial"/>
                <w:color w:val="000000"/>
                <w:sz w:val="21"/>
                <w:szCs w:val="21"/>
              </w:rPr>
              <w:br/>
              <w:t>- Văn phòng Thành ủy và các Ban Đảng;</w:t>
            </w:r>
            <w:r>
              <w:rPr>
                <w:rFonts w:ascii="Arial" w:hAnsi="Arial" w:cs="Arial"/>
                <w:color w:val="000000"/>
                <w:sz w:val="21"/>
                <w:szCs w:val="21"/>
              </w:rPr>
              <w:br/>
              <w:t>- Sở, Ban, ngành thành phố;</w:t>
            </w:r>
            <w:r>
              <w:rPr>
                <w:rFonts w:ascii="Arial" w:hAnsi="Arial" w:cs="Arial"/>
                <w:color w:val="000000"/>
                <w:sz w:val="21"/>
                <w:szCs w:val="21"/>
              </w:rPr>
              <w:br/>
              <w:t>- Quận ủy, TT.HĐND quận;</w:t>
            </w:r>
            <w:r>
              <w:rPr>
                <w:rFonts w:ascii="Arial" w:hAnsi="Arial" w:cs="Arial"/>
                <w:color w:val="000000"/>
                <w:sz w:val="21"/>
                <w:szCs w:val="21"/>
              </w:rPr>
              <w:br/>
              <w:t>- Huyện ủy, TT.HĐND huyện;</w:t>
            </w:r>
            <w:r>
              <w:rPr>
                <w:rFonts w:ascii="Arial" w:hAnsi="Arial" w:cs="Arial"/>
                <w:color w:val="000000"/>
                <w:sz w:val="21"/>
                <w:szCs w:val="21"/>
              </w:rPr>
              <w:br/>
              <w:t>- UBND quận, huyện;</w:t>
            </w:r>
            <w:r>
              <w:rPr>
                <w:rFonts w:ascii="Arial" w:hAnsi="Arial" w:cs="Arial"/>
                <w:color w:val="000000"/>
                <w:sz w:val="21"/>
                <w:szCs w:val="21"/>
              </w:rPr>
              <w:br/>
              <w:t>- Báo Cần Thơ;</w:t>
            </w:r>
            <w:r>
              <w:rPr>
                <w:rFonts w:ascii="Arial" w:hAnsi="Arial" w:cs="Arial"/>
                <w:color w:val="000000"/>
                <w:sz w:val="21"/>
                <w:szCs w:val="21"/>
              </w:rPr>
              <w:br/>
              <w:t>- TT Công báo;</w:t>
            </w:r>
            <w:r>
              <w:rPr>
                <w:rFonts w:ascii="Arial" w:hAnsi="Arial" w:cs="Arial"/>
                <w:color w:val="000000"/>
                <w:sz w:val="21"/>
                <w:szCs w:val="21"/>
              </w:rPr>
              <w:br/>
              <w:t>- VP UBND thành phố (3B);</w:t>
            </w:r>
            <w:r>
              <w:rPr>
                <w:rFonts w:ascii="Arial" w:hAnsi="Arial" w:cs="Arial"/>
                <w:color w:val="000000"/>
                <w:sz w:val="21"/>
                <w:szCs w:val="21"/>
              </w:rPr>
              <w:br/>
              <w:t>- Lưu: VT,PH.</w:t>
            </w:r>
          </w:p>
        </w:tc>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51D48" w14:textId="77777777" w:rsidR="000329E1" w:rsidRDefault="000329E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ỦY BAN NHÂN DÂN</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Nguyễn Thanh Sơn</w:t>
            </w:r>
          </w:p>
        </w:tc>
      </w:tr>
    </w:tbl>
    <w:p w14:paraId="6FF7EEF2" w14:textId="304935C5" w:rsidR="006263BE" w:rsidRPr="000329E1" w:rsidRDefault="006263BE" w:rsidP="000329E1"/>
    <w:sectPr w:rsidR="006263BE" w:rsidRPr="000329E1" w:rsidSect="00EF16BB">
      <w:headerReference w:type="even" r:id="rId24"/>
      <w:headerReference w:type="default" r:id="rId25"/>
      <w:footerReference w:type="even" r:id="rId26"/>
      <w:footerReference w:type="default" r:id="rId27"/>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748F2" w14:textId="77777777" w:rsidR="005A2C59" w:rsidRDefault="005A2C59">
      <w:r>
        <w:separator/>
      </w:r>
    </w:p>
  </w:endnote>
  <w:endnote w:type="continuationSeparator" w:id="0">
    <w:p w14:paraId="3159D80B" w14:textId="77777777" w:rsidR="005A2C59" w:rsidRDefault="005A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514F0" w14:textId="77777777" w:rsidR="005A2C59" w:rsidRDefault="005A2C59">
      <w:r>
        <w:separator/>
      </w:r>
    </w:p>
  </w:footnote>
  <w:footnote w:type="continuationSeparator" w:id="0">
    <w:p w14:paraId="6428DCC3" w14:textId="77777777" w:rsidR="005A2C59" w:rsidRDefault="005A2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A2C59"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29E1"/>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0CE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26B"/>
    <w:rsid w:val="003A2C63"/>
    <w:rsid w:val="003A7524"/>
    <w:rsid w:val="003B0937"/>
    <w:rsid w:val="003B0B22"/>
    <w:rsid w:val="003B23B9"/>
    <w:rsid w:val="003B5DEC"/>
    <w:rsid w:val="003B5E51"/>
    <w:rsid w:val="003C0299"/>
    <w:rsid w:val="003C0DDA"/>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E0"/>
    <w:rsid w:val="005A2C59"/>
    <w:rsid w:val="005A3960"/>
    <w:rsid w:val="005A4658"/>
    <w:rsid w:val="005A52B1"/>
    <w:rsid w:val="005A6F08"/>
    <w:rsid w:val="005B2698"/>
    <w:rsid w:val="005B4429"/>
    <w:rsid w:val="005B4532"/>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0DF9"/>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4821"/>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2D51"/>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1570"/>
    <w:rsid w:val="00AF4C87"/>
    <w:rsid w:val="00B001E1"/>
    <w:rsid w:val="00B00B5A"/>
    <w:rsid w:val="00B00F6A"/>
    <w:rsid w:val="00B01233"/>
    <w:rsid w:val="00B0181C"/>
    <w:rsid w:val="00B03A6E"/>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56B4B"/>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13A"/>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dat-dai-nam-2003.aspx" TargetMode="External"/><Relationship Id="rId13" Type="http://schemas.openxmlformats.org/officeDocument/2006/relationships/hyperlink" Target="https://admin.luatminhkhue.vn/van-ban/nghi-dinh-so-69-2009-nd-cp.aspx" TargetMode="External"/><Relationship Id="rId18" Type="http://schemas.openxmlformats.org/officeDocument/2006/relationships/hyperlink" Target="https://admin.luatminhkhue.vn/van-ban/thong-tu-so-14-2009-tt-btnmt-quy-dinh-chi-tiet-ve-boi-thuong-ho-tro-tai-dinh-cu-va-trinh-tu-thu-tuc-thu-hoi-dat-giao-dat-cho-thue-dat.asp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admin.luatminhkhue.vn/van-ban/quyet-dinh-49-2009-qd-ubnd-quy-dinh-dien-tich-toi-thieu-duoc-tach-thua-doi-voi-tung-loai-dat-do-uy-ban-nhan-dan-thanh-pho-can-tho-ban-hanh.aspx" TargetMode="External"/><Relationship Id="rId7" Type="http://schemas.openxmlformats.org/officeDocument/2006/relationships/hyperlink" Target="https://admin.luatminhkhue.vn/van-ban/luat-to-chuc-hoi-dong-nhan-dan-va-uy-ban-nhan-dan-nam-2003.aspx" TargetMode="External"/><Relationship Id="rId12" Type="http://schemas.openxmlformats.org/officeDocument/2006/relationships/hyperlink" Target="https://admin.luatminhkhue.vn/van-ban/https-luatminhkhue-vn-van-ban-nghi-dinh-so-88-2009-nd-cp-ve-cap-giay-chung-nhan-quyen-su-dung-dat-quyen-so-huu-nha.aspx" TargetMode="External"/><Relationship Id="rId17" Type="http://schemas.openxmlformats.org/officeDocument/2006/relationships/hyperlink" Target="https://admin.luatminhkhue.vn/van-ban/thong-tu-so-20-2010-tt-btnmt.aspx"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admin.luatminhkhue.vn/van-ban/thong-tu-17-2009-tt-btnmt-moi-truong-quy-dinh-ve-giay-chung-nhan-quyen-su-dung-dat-quyen-so-huu-nha-o-va-tai-san-khac-gan-lien-voi-dat.aspx" TargetMode="External"/><Relationship Id="rId20" Type="http://schemas.openxmlformats.org/officeDocument/2006/relationships/hyperlink" Target="https://admin.luatminhkhue.vn/van-ban/nghi-dinh-so-69-2009-nd-cp.asp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so-84-2007-nd-cp.aspx"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dmin.luatminhkhue.vn/van-ban/nghi-dinh-so-84-2007-nd-cp.aspx" TargetMode="External"/><Relationship Id="rId23" Type="http://schemas.openxmlformats.org/officeDocument/2006/relationships/hyperlink" Target="https://admin.luatminhkhue.vn/van-ban/https-luatminhkhue-vn-van-ban-nghi-dinh-so-88-2009-nd-cp-ve-cap-giay-chung-nhan-quyen-su-dung-dat-quyen-so-huu-nha.aspx" TargetMode="External"/><Relationship Id="rId28" Type="http://schemas.openxmlformats.org/officeDocument/2006/relationships/fontTable" Target="fontTable.xml"/><Relationship Id="rId10" Type="http://schemas.openxmlformats.org/officeDocument/2006/relationships/hyperlink" Target="https://admin.luatminhkhue.vn/van-ban/nghi-dinh-so-181-2004-nd-cp.aspx" TargetMode="External"/><Relationship Id="rId19" Type="http://schemas.openxmlformats.org/officeDocument/2006/relationships/hyperlink" Target="https://admin.luatminhkhue.vn/van-ban/quyet-dinh-04-2008-qd-bxd-cua-bo-xay-dung-ve-viec-ban-hanh-quy-chuan-ky-thuat-quoc-gia-ve-quy-hoach-xay-dung-.aspx" TargetMode="External"/><Relationship Id="rId4" Type="http://schemas.openxmlformats.org/officeDocument/2006/relationships/webSettings" Target="webSettings.xml"/><Relationship Id="rId9" Type="http://schemas.openxmlformats.org/officeDocument/2006/relationships/hyperlink" Target="https://admin.luatminhkhue.vn/van-ban/luat-xay-dung-nam-2003.aspx" TargetMode="External"/><Relationship Id="rId14" Type="http://schemas.openxmlformats.org/officeDocument/2006/relationships/hyperlink" Target="https://admin.luatminhkhue.vn/van-ban/thong-tu-06-2007-tt-btnmt-ve-viec-cap-giay-chung-nhan-quyen-su-dung-dat-thu-hoi-dat.aspx" TargetMode="External"/><Relationship Id="rId22" Type="http://schemas.openxmlformats.org/officeDocument/2006/relationships/hyperlink" Target="https://admin.luatminhkhue.vn/van-ban/nghi-dinh-so-84-2007-nd-cp.asp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509</TotalTime>
  <Pages>4</Pages>
  <Words>1287</Words>
  <Characters>7337</Characters>
  <Application>Microsoft Office Word</Application>
  <DocSecurity>0</DocSecurity>
  <Lines>61</Lines>
  <Paragraphs>17</Paragraphs>
  <ScaleCrop>false</ScaleCrop>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397</cp:revision>
  <dcterms:created xsi:type="dcterms:W3CDTF">2024-12-02T03:13:00Z</dcterms:created>
  <dcterms:modified xsi:type="dcterms:W3CDTF">2025-01-20T05:41:00Z</dcterms:modified>
</cp:coreProperties>
</file>