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72304" w14:paraId="1856A682" w14:textId="77777777" w:rsidTr="00B7230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A984" w14:textId="77777777" w:rsidR="00B72304" w:rsidRDefault="00B7230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809A3" w14:textId="77777777" w:rsidR="00B72304" w:rsidRDefault="00B723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72304" w14:paraId="110D7F74" w14:textId="77777777" w:rsidTr="00B7230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E791B" w14:textId="77777777" w:rsidR="00B72304" w:rsidRDefault="00B7230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05/2017/QĐ-UBND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DD46" w14:textId="77777777" w:rsidR="00B72304" w:rsidRDefault="00B7230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02 tháng 10 năm 2017</w:t>
            </w:r>
          </w:p>
        </w:tc>
      </w:tr>
    </w:tbl>
    <w:p w14:paraId="4DDF4162" w14:textId="77777777" w:rsidR="00B72304" w:rsidRDefault="00B72304" w:rsidP="00B723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8DC27F1" w14:textId="77777777" w:rsidR="00B72304" w:rsidRDefault="00B72304" w:rsidP="00B7230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DIỆN TÍCH TỐI THIỂU ĐƯỢC TÁCH THỬA ĐỐI VỚI ĐẤT NÔNG NGHIỆP VÀ ĐẤT PHI NÔNG NGHIỆP KHÔNG PHẢI LÀ ĐẤT Ở</w:t>
      </w:r>
    </w:p>
    <w:p w14:paraId="00F50C24" w14:textId="77777777" w:rsidR="00B72304" w:rsidRDefault="00B72304" w:rsidP="00B723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53DF6E69"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3D9B87DD"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12B806CC"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31 Điều 2 Nghị định số </w:t>
      </w:r>
      <w:hyperlink r:id="rId9"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w:t>
      </w:r>
    </w:p>
    <w:p w14:paraId="38E98DF6"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w:t>
      </w:r>
    </w:p>
    <w:p w14:paraId="72F7E5A3" w14:textId="77777777" w:rsidR="00B72304" w:rsidRDefault="00B72304" w:rsidP="00B723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B31A52A"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A99F4FB"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diện tích tối thiểu được tách thửa đối với đất nông nghiệp và đất phi nông nghiệp không phải là đất ở được áp dụng trên địa bàn thành phố Cần Thơ.</w:t>
      </w:r>
    </w:p>
    <w:p w14:paraId="6F5807EA"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không áp dụng trong các trường hợp sau:</w:t>
      </w:r>
    </w:p>
    <w:p w14:paraId="1F3487D5"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theo quyết định thu hồi đất của cơ quan Nhà nước có thẩm quyền.</w:t>
      </w:r>
    </w:p>
    <w:p w14:paraId="3D4BB88B"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thửa khi thực hiện kết quả hòa giải thành về tranh chấp đất đai được Ủy ban nhân dân cấp có thẩm quyền công nhận; thực hiện việc xử lý nợ theo thỏa thuận trong hợp đồng thế chấp, bảo lãnh; thực hiện quyết định hành chính giải quyết khiếu nại, tố cáo về đất đai, thực hiện bản án hoặc quyết định của Tòa án nhân dân đã có hiệu lực, quyết định thi hành án của cơ quan thi hành án đã được thi hành; thực hiện văn bản công nhận kết quả đấu giá quyền sử dụng đất phù hợp pháp luật.</w:t>
      </w:r>
    </w:p>
    <w:p w14:paraId="1CF36EE3"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đối với trường hợp hiến tặng đất cho Nhà nước, đất tặng cho hộ gia đình, cá nhân để xây dựng nhà tình thương, nhà tình nghĩa, nhà đại đoàn kết.</w:t>
      </w:r>
    </w:p>
    <w:p w14:paraId="41F1AB65"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Tách thửa để phân chia thừa kế quyền sử dụng đất, thừa kế tài sản gắn liền với đất hợp pháp theo quy định pháp luật.</w:t>
      </w:r>
    </w:p>
    <w:p w14:paraId="6F490C9E"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người sử dụng đất đã lập thủ tục chuyển quyền sử dụng đất, được cơ quan có thẩm quyền công chứng, chứng thực hợp đồng chuyển quyền đối với thửa đất đã chia tách từ trước ngày Quyết định này có hiệu lực thi hành.</w:t>
      </w:r>
    </w:p>
    <w:p w14:paraId="6075FBD0"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94A427D"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sử dụng đất (sau đây gọi tắt là người sử dụng đất) có yêu cầu tách thửa;</w:t>
      </w:r>
    </w:p>
    <w:p w14:paraId="20E58CC7"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thực hiện thủ tục tách thửa.</w:t>
      </w:r>
    </w:p>
    <w:p w14:paraId="21568031"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tách thửa</w:t>
      </w:r>
    </w:p>
    <w:p w14:paraId="0E809FBC"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Giấy chứng nhận quyền sử dụng đất, Giấy chứng nhận quyền sở hữu nhà ở và quyền sử dụng đất ở, Giấy chứng nhận quyền sử dụng đất, quyền sở hữu nhà ở và tài sản khác gắn liền với đất.</w:t>
      </w:r>
    </w:p>
    <w:p w14:paraId="777CB128"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không có tranh chấp, quyền sử dụng đất và tài sản gắn liền với đất không bị kê biên để đảm bảo thi hành án, đất không có thông báo thu hồi đất hoặc quyết định thu hồi đất đang có hiệu lực pháp luật của cơ quan nhà nước có thẩm quyền.</w:t>
      </w:r>
    </w:p>
    <w:p w14:paraId="05A53EC6"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được phép tách thửa để hình thành thửa đất mới và diện tích còn lại của thửa đất sau khi tách phải lớn hơn hoặc bằng diện tích tối thiểu quy định tại Điều 4 Quyết định này. Trường hợp người sử dụng đất xin tách thửa thành thửa đất có diện tích nhỏ hơn diện tích tối thiểu và xin hợp thửa đất đó với thửa đất khác liền kề có cùng mục đích sử dụng để tạo thành thửa đất mới có diện tích lớn hơn hoặc bằng diện tích tối thiểu được tách thửa thì được phép tách thửa đồng thời với việc hợp thửa và cấp Giấy chứng nhận cho thửa đất mới. Thủ tục tách thửa trong trường hợp này được thực hiện đồng thời với thủ tục hợp thửa đất và cấp Giấy chứng nhận cho thửa đất mới.</w:t>
      </w:r>
    </w:p>
    <w:p w14:paraId="2F65F37E"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tối thiểu được phép tách thửa</w:t>
      </w:r>
    </w:p>
    <w:p w14:paraId="753B0023"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tối thiểu được tách thửa đối với trường hợp thửa đất phù hợp với quy hoạch sử dụng đất, quy hoạch xây dựng, quy hoạch đô thị, quy hoạch xây dựng nông thôn (quy hoạch xã nông thôn mới), quy hoạch sản xuất nông nghiệp được phê duyệt:</w:t>
      </w:r>
    </w:p>
    <w:p w14:paraId="738136F9"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nông nghiệp:</w:t>
      </w:r>
    </w:p>
    <w:p w14:paraId="3F26DCD4"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nông nghiệp là đất trồng cây lâu năm:</w:t>
      </w:r>
    </w:p>
    <w:p w14:paraId="50F279EC"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Phường thuộc quận: Diện tích tối thiểu được tách thửa từ 150 m</w:t>
      </w:r>
      <w:r>
        <w:rPr>
          <w:rFonts w:ascii="Arial" w:hAnsi="Arial" w:cs="Arial"/>
          <w:color w:val="000000"/>
          <w:sz w:val="21"/>
          <w:szCs w:val="21"/>
          <w:vertAlign w:val="superscript"/>
        </w:rPr>
        <w:t>2</w:t>
      </w:r>
      <w:r>
        <w:rPr>
          <w:rFonts w:ascii="Arial" w:hAnsi="Arial" w:cs="Arial"/>
          <w:color w:val="000000"/>
          <w:sz w:val="21"/>
          <w:szCs w:val="21"/>
        </w:rPr>
        <w:t> trở lên. Thị trấn thuộc huyện: Diện tích tối thiểu được tách thửa từ 200 m</w:t>
      </w:r>
      <w:r>
        <w:rPr>
          <w:rFonts w:ascii="Arial" w:hAnsi="Arial" w:cs="Arial"/>
          <w:color w:val="000000"/>
          <w:sz w:val="21"/>
          <w:szCs w:val="21"/>
          <w:vertAlign w:val="superscript"/>
        </w:rPr>
        <w:t>2</w:t>
      </w:r>
      <w:r>
        <w:rPr>
          <w:rFonts w:ascii="Arial" w:hAnsi="Arial" w:cs="Arial"/>
          <w:color w:val="000000"/>
          <w:sz w:val="21"/>
          <w:szCs w:val="21"/>
        </w:rPr>
        <w:t> trở lên. Xã thuộc huyện: Diện tích tối thiểu được tách thửa từ 300 m</w:t>
      </w:r>
      <w:r>
        <w:rPr>
          <w:rFonts w:ascii="Arial" w:hAnsi="Arial" w:cs="Arial"/>
          <w:color w:val="000000"/>
          <w:sz w:val="21"/>
          <w:szCs w:val="21"/>
          <w:vertAlign w:val="superscript"/>
        </w:rPr>
        <w:t>2</w:t>
      </w:r>
      <w:r>
        <w:rPr>
          <w:rFonts w:ascii="Arial" w:hAnsi="Arial" w:cs="Arial"/>
          <w:color w:val="000000"/>
          <w:sz w:val="21"/>
          <w:szCs w:val="21"/>
        </w:rPr>
        <w:t> trở lên.</w:t>
      </w:r>
    </w:p>
    <w:p w14:paraId="013C2276"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loại đất nông nghiệp là đất trồng lúa, đất trồng cây hàng năm khác:</w:t>
      </w:r>
    </w:p>
    <w:p w14:paraId="7B02C688"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thị trấn thuộc quận, huyện: Diện tích tối thiểu được tách thửa từ 500 m</w:t>
      </w:r>
      <w:r>
        <w:rPr>
          <w:rFonts w:ascii="Arial" w:hAnsi="Arial" w:cs="Arial"/>
          <w:color w:val="000000"/>
          <w:sz w:val="21"/>
          <w:szCs w:val="21"/>
          <w:vertAlign w:val="superscript"/>
        </w:rPr>
        <w:t>2</w:t>
      </w:r>
      <w:r>
        <w:rPr>
          <w:rFonts w:ascii="Arial" w:hAnsi="Arial" w:cs="Arial"/>
          <w:color w:val="000000"/>
          <w:sz w:val="21"/>
          <w:szCs w:val="21"/>
        </w:rPr>
        <w:t> trở lên.</w:t>
      </w:r>
    </w:p>
    <w:p w14:paraId="34873C0E"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thuộc huyện: Diện tích tối thiểu được tách thửa từ 1.000 m</w:t>
      </w:r>
      <w:r>
        <w:rPr>
          <w:rFonts w:ascii="Arial" w:hAnsi="Arial" w:cs="Arial"/>
          <w:color w:val="000000"/>
          <w:sz w:val="21"/>
          <w:szCs w:val="21"/>
          <w:vertAlign w:val="superscript"/>
        </w:rPr>
        <w:t>2</w:t>
      </w:r>
      <w:r>
        <w:rPr>
          <w:rFonts w:ascii="Arial" w:hAnsi="Arial" w:cs="Arial"/>
          <w:color w:val="000000"/>
          <w:sz w:val="21"/>
          <w:szCs w:val="21"/>
        </w:rPr>
        <w:t> trở lên. b) Đối với loại đất phi nông nghiệp không phải là đất ở:</w:t>
      </w:r>
    </w:p>
    <w:p w14:paraId="4317B2A3"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phải có dự án đầu tư phù hợp với quy hoạch, kế hoạch sử dụng đất, quy hoạch xây dựng đô thị hoặc quy hoạch xây dựng điểm dân cư nông thôn được cơ quan có thẩm quyền phê duyệt; đảm bảo mật độ xây dựng và yêu cầu của Quy chuẩn xây dựng ban hành kèm theo Quyết định số </w:t>
      </w:r>
      <w:hyperlink r:id="rId10" w:history="1">
        <w:r>
          <w:rPr>
            <w:rStyle w:val="Hyperlink"/>
            <w:rFonts w:ascii="Arial" w:hAnsi="Arial" w:cs="Arial"/>
            <w:color w:val="135ECD"/>
            <w:sz w:val="21"/>
            <w:szCs w:val="21"/>
          </w:rPr>
          <w:t>04/2008/QĐ-BXD</w:t>
        </w:r>
      </w:hyperlink>
      <w:r>
        <w:rPr>
          <w:rFonts w:ascii="Arial" w:hAnsi="Arial" w:cs="Arial"/>
          <w:color w:val="000000"/>
          <w:sz w:val="21"/>
          <w:szCs w:val="21"/>
        </w:rPr>
        <w:t> ngày 03 tháng 4 năm 2008 của Bộ Xây dựng. Diện tích tối thiểu được tách thửa từ 40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phường, thị trấn và từ 60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xã.</w:t>
      </w:r>
    </w:p>
    <w:p w14:paraId="7F2CF0FA"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được tách thửa đối với trường hợp thửa đất có mục đích sử dụng trên giấy chứng nhận không phù hợp với quy hoạch sử dụng đất, quy hoạch xây dựng đô thị, quy hoạch xây dựng nông thôn (quy hoạch xã nông thôn mới), quy hoạch sản xuất nông nghiệp được phê duyệt:</w:t>
      </w:r>
    </w:p>
    <w:p w14:paraId="7A2597E2"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có mục đích sử dụng là đất nông nghiệp, đất phi nông nghiệp không phải đất ở nằm trong quy hoạch đất ở hiện hữu tự cải tạo (không thuộc trường hợp nhà nước phải thu hồi để thực hiện dự án đầu tư theo quy hoạch hoặc kế hoạch sử dụng đất được phê duyệt) thì được phép tách thửa theo diện tích tối thiểu đối với loại đất ở (từ 40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phường, thị trấn và từ 60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xã). Trước khi tách thửa đất, người sử dụng đất phải thực hiện chuyển mục đích sử dụng đất sang loại đất ở đối với diện tích dự kiến tách thửa, trừ các trường hợp: Thi hành Quyết định, bản án đã có hiệu lực pháp luật; thực hiện di chúc đã phát sinh hiệu lực; thực hiện tặng, cho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0F40BD0E"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thuộc khu vực phải thu hồi để thực hiện quy hoạch, kế hoạch sử dụng đất hoặc quy hoạch xây dựng đô thị hoặc quy hoạch xây dựng điểm dân cư nông thôn được cơ quan Nhà nước có thẩm quyền phê duyệt, nhưng chưa có văn bản về chủ trương thu hồi đất thì vẫn được phép tách thửa theo diện tích tối thiểu được quy định tại Khoản 1 Điều này. Trường hợp này, người sử dụng đất phải cam kết tiếp tục sử dụng thửa đất được chia tách theo đúng mục đích đã được xác định, không được thay đổi mục đích sử dụng đất, không được xây dựng mới hoặc mở rộng nhà ở và các công trình hiện có.</w:t>
      </w:r>
    </w:p>
    <w:p w14:paraId="41A1709E"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thửa đất có đất ở kết hợp với đất có mục đích khác nằm trong quy hoạch đất ở theo quy hoạch sử dụng đất, quy hoạch xây dựng đô thị, quy hoạch xây dựng nông thôn (quy hoạch xã nông thôn mới), quy hoạch sản xuất nông nghiệp được phê duyệt, thì thửa đất tách mới và thửa đất còn lại phải có diện tích đất ở từ 40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phường, thị trấn và từ 60 m</w:t>
      </w:r>
      <w:r>
        <w:rPr>
          <w:rFonts w:ascii="Arial" w:hAnsi="Arial" w:cs="Arial"/>
          <w:color w:val="000000"/>
          <w:sz w:val="21"/>
          <w:szCs w:val="21"/>
          <w:vertAlign w:val="superscript"/>
        </w:rPr>
        <w:t>2</w:t>
      </w:r>
      <w:r>
        <w:rPr>
          <w:rFonts w:ascii="Arial" w:hAnsi="Arial" w:cs="Arial"/>
          <w:color w:val="000000"/>
          <w:sz w:val="21"/>
          <w:szCs w:val="21"/>
        </w:rPr>
        <w:t> trở lên đối với đất tại các xã. Diện tích đất nông nghiệp, đất phi nông nghiệp không phải là đất ở kèm theo thửa đất tách mới và thửa đất còn lại phải đảm bảo về diện tích tối thiểu theo quy định tại Khoản 1 Điều này.</w:t>
      </w:r>
    </w:p>
    <w:p w14:paraId="696A2F85"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Một số trường hợp tách thửa các loại đất</w:t>
      </w:r>
    </w:p>
    <w:p w14:paraId="29ADDE27"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nông nghiệp, đất vườn, ao liền kề đất ở; đất nông nghiệp xen kẽ trong khu dân cư, sau khi tách thửa việc chuyển mục đích sử dụng đất sang mục đích khác phải căn cứ vào quy hoạch, kế hoạch sử dụng đất hoặc quy hoạch xây dựng đô thị, quy hoạch chi tiết xây dựng đô thị đã được phê duyệt.</w:t>
      </w:r>
    </w:p>
    <w:p w14:paraId="0E305A09"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tách thửa sau đây không đảm bảo diện tích tối thiểu theo quyết định này thì Ủy ban nhân dân quận, huyện có trách nhiệm xem xét, giải quyết từng trường hợp cụ thể như sau:</w:t>
      </w:r>
    </w:p>
    <w:p w14:paraId="6FFAB2E7"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đất để tặng, cho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7FAE4B7D"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Tách thửa đất để thực hiện chuyển nhượng quyền sử dụng đất do hoàn cảnh gia đình khó khăn. Việc xác định hoàn cảnh gia đình khó khăn do Chủ tịch Ủy ban nhân dân cấp xã chỉ đạo xác nhận và chịu trách nhiệm. Sau đó, Ủy ban nhân dân cấp huyện xem xét, giải quyết theo đề nghị của Ủy ban nhân dân cấp xã thông qua Hội đồng tư vấn (thành phần Hội đồng tư vấn do Ủy ban nhân dân quận, huyện quyết định).</w:t>
      </w:r>
    </w:p>
    <w:p w14:paraId="5C92F91D"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đủ diện tích tối thiểu được tách thửa theo quy định này, nhưng trước đây do hiến đất để thực hiện các công trình trên địa bàn thành phố, nay diện tích đất còn lại không đủ diện tích tối thiểu được tách thửa.</w:t>
      </w:r>
    </w:p>
    <w:p w14:paraId="0D6BAD5F"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đất tự thực hiện dự án đầu tư hoặc chuyển nhượng quyền sử dụng đất, góp vốn bằng quyền sử dụng đất, cho thuê quyền sử dụng đất để người nhận chuyển nhượng, nhận góp vốn, thuê quyền sử dụng đất thực hiện dự án đầu tư theo dự án đầu tư được cơ quan nhà nước có thẩm quyền phê duyệt thì diện tích đất tối thiểu được tách thửa thực hiện theo dự án đầu tư được cơ quan nhà nước có thẩm quyền phê duyệt. Trường hợp diện tích thửa đất còn lại sau khi tách thửa nhỏ hơn diện tích tối thiểu theo quy định tại Điều 4 của Quyết định này thì người sử dụng đất vẫn được cấp Giấy chứng nhận theo quy định hiện hành.</w:t>
      </w:r>
    </w:p>
    <w:p w14:paraId="76E6D533"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108DEE81"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này có hiệu lực kể từ ngày 16 tháng 10 năm 2017.</w:t>
      </w:r>
    </w:p>
    <w:p w14:paraId="300390C6"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tách thửa trước ngày Quyết định này có hiệu lực thi hành có diện tích nhỏ hơn diện tích tối thiểu được phép tách thửa theo quy định này nhưng đủ điều kiện cấp Giấy chứng nhận quyền sử dụng đất, quyền sở hữu nhà ở và tài sản khác gắn liền với đất thì được xem xét cấp Giấy chứng nhận.</w:t>
      </w:r>
    </w:p>
    <w:p w14:paraId="13D5C177"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thi hành</w:t>
      </w:r>
    </w:p>
    <w:p w14:paraId="0A6BBB4A" w14:textId="77777777" w:rsidR="00B72304" w:rsidRDefault="00B72304" w:rsidP="00B723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thành phố; Giám đốc Sở; Thủ trưởng cơ quan Ban, ngành thành phố; Chủ tịch Ủy ban nhân dân quận, huyện; Chủ tịch Ủy ban nhân dân xã, phường, thị trấn;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8"/>
        <w:gridCol w:w="4486"/>
      </w:tblGrid>
      <w:tr w:rsidR="00B72304" w14:paraId="6FF4B4BC" w14:textId="77777777" w:rsidTr="00B72304">
        <w:trPr>
          <w:tblCellSpacing w:w="0" w:type="dxa"/>
        </w:trPr>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CBD2E" w14:textId="77777777" w:rsidR="00B72304" w:rsidRDefault="00B72304">
            <w:pPr>
              <w:pStyle w:val="NormalWeb"/>
              <w:spacing w:after="90" w:afterAutospacing="0" w:line="345" w:lineRule="atLeast"/>
              <w:jc w:val="both"/>
              <w:rPr>
                <w:rFonts w:ascii="Arial" w:hAnsi="Arial" w:cs="Arial"/>
                <w:color w:val="000000"/>
                <w:sz w:val="21"/>
                <w:szCs w:val="21"/>
              </w:rPr>
            </w:pPr>
          </w:p>
          <w:p w14:paraId="37F26980" w14:textId="77777777" w:rsidR="00B72304" w:rsidRDefault="00B72304" w:rsidP="00B7230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(HN-TPHCM);</w:t>
            </w:r>
            <w:r>
              <w:rPr>
                <w:rFonts w:ascii="Arial" w:hAnsi="Arial" w:cs="Arial"/>
                <w:color w:val="000000"/>
                <w:sz w:val="21"/>
                <w:szCs w:val="21"/>
              </w:rPr>
              <w:br/>
              <w:t>- Bộ Tài nguyên và Môi trường;</w:t>
            </w:r>
            <w:r>
              <w:rPr>
                <w:rFonts w:ascii="Arial" w:hAnsi="Arial" w:cs="Arial"/>
                <w:color w:val="000000"/>
                <w:sz w:val="21"/>
                <w:szCs w:val="21"/>
              </w:rPr>
              <w:br/>
              <w:t>- Bộ Tư pháp (Cục Kiểm tra VBQPPL);</w:t>
            </w:r>
            <w:r>
              <w:rPr>
                <w:rFonts w:ascii="Arial" w:hAnsi="Arial" w:cs="Arial"/>
                <w:color w:val="000000"/>
                <w:sz w:val="21"/>
                <w:szCs w:val="21"/>
              </w:rPr>
              <w:br/>
              <w:t>- TT.Thành ủy, TT.HĐND thành phố;</w:t>
            </w:r>
            <w:r>
              <w:rPr>
                <w:rFonts w:ascii="Arial" w:hAnsi="Arial" w:cs="Arial"/>
                <w:color w:val="000000"/>
                <w:sz w:val="21"/>
                <w:szCs w:val="21"/>
              </w:rPr>
              <w:br/>
              <w:t>- Thành viên UBND thành phố;</w:t>
            </w:r>
            <w:r>
              <w:rPr>
                <w:rFonts w:ascii="Arial" w:hAnsi="Arial" w:cs="Arial"/>
                <w:color w:val="000000"/>
                <w:sz w:val="21"/>
                <w:szCs w:val="21"/>
              </w:rPr>
              <w:br/>
              <w:t>- Đoàn Đại biểu Quốc hội TP Cần Thơ;</w:t>
            </w:r>
            <w:r>
              <w:rPr>
                <w:rFonts w:ascii="Arial" w:hAnsi="Arial" w:cs="Arial"/>
                <w:color w:val="000000"/>
                <w:sz w:val="21"/>
                <w:szCs w:val="21"/>
              </w:rPr>
              <w:br/>
              <w:t>- UBMTTQ và các Đoàn thể của thành phố;</w:t>
            </w:r>
            <w:r>
              <w:rPr>
                <w:rFonts w:ascii="Arial" w:hAnsi="Arial" w:cs="Arial"/>
                <w:color w:val="000000"/>
                <w:sz w:val="21"/>
                <w:szCs w:val="21"/>
              </w:rPr>
              <w:br/>
              <w:t>- Văn phòng Thành ủy và các Ban Xây dựng Đảng;</w:t>
            </w:r>
            <w:r>
              <w:rPr>
                <w:rFonts w:ascii="Arial" w:hAnsi="Arial" w:cs="Arial"/>
                <w:color w:val="000000"/>
                <w:sz w:val="21"/>
                <w:szCs w:val="21"/>
              </w:rPr>
              <w:br/>
              <w:t>- Cơ quan Báo, đài trên địa bàn;</w:t>
            </w:r>
            <w:r>
              <w:rPr>
                <w:rFonts w:ascii="Arial" w:hAnsi="Arial" w:cs="Arial"/>
                <w:color w:val="000000"/>
                <w:sz w:val="21"/>
                <w:szCs w:val="21"/>
              </w:rPr>
              <w:br/>
              <w:t>- Sở, Ban, ngành thành phố;</w:t>
            </w:r>
            <w:r>
              <w:rPr>
                <w:rFonts w:ascii="Arial" w:hAnsi="Arial" w:cs="Arial"/>
                <w:color w:val="000000"/>
                <w:sz w:val="21"/>
                <w:szCs w:val="21"/>
              </w:rPr>
              <w:br/>
              <w:t>- TT.HĐND và UBND quận, huyện;</w:t>
            </w:r>
            <w:r>
              <w:rPr>
                <w:rFonts w:ascii="Arial" w:hAnsi="Arial" w:cs="Arial"/>
                <w:color w:val="000000"/>
                <w:sz w:val="21"/>
                <w:szCs w:val="21"/>
              </w:rPr>
              <w:br/>
              <w:t>- Công báo;</w:t>
            </w:r>
            <w:r>
              <w:rPr>
                <w:rFonts w:ascii="Arial" w:hAnsi="Arial" w:cs="Arial"/>
                <w:color w:val="000000"/>
                <w:sz w:val="21"/>
                <w:szCs w:val="21"/>
              </w:rPr>
              <w:br/>
              <w:t>- VP UBND thành phố (3B);</w:t>
            </w:r>
            <w:r>
              <w:rPr>
                <w:rFonts w:ascii="Arial" w:hAnsi="Arial" w:cs="Arial"/>
                <w:color w:val="000000"/>
                <w:sz w:val="21"/>
                <w:szCs w:val="21"/>
              </w:rPr>
              <w:br/>
              <w:t>- Cổng thông tin điện tử thành phố;</w:t>
            </w:r>
            <w:r>
              <w:rPr>
                <w:rFonts w:ascii="Arial" w:hAnsi="Arial" w:cs="Arial"/>
                <w:color w:val="000000"/>
                <w:sz w:val="21"/>
                <w:szCs w:val="21"/>
              </w:rPr>
              <w:br/>
              <w:t>- Lưu: VT.</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61A88" w14:textId="77777777" w:rsidR="00B72304" w:rsidRDefault="00B723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Strong"/>
                <w:rFonts w:ascii="Arial" w:hAnsi="Arial" w:cs="Arial"/>
                <w:color w:val="000000"/>
                <w:sz w:val="21"/>
                <w:szCs w:val="21"/>
              </w:rPr>
              <w:t>KT.CHỦ TỊCH</w:t>
            </w:r>
            <w:r>
              <w:rPr>
                <w:rFonts w:ascii="Arial" w:hAnsi="Arial" w:cs="Arial"/>
                <w:b/>
                <w:bCs/>
                <w:color w:val="000000"/>
                <w:sz w:val="21"/>
                <w:szCs w:val="21"/>
              </w:rPr>
              <w:br/>
            </w:r>
            <w:r>
              <w:rPr>
                <w:rStyle w:val="Strong"/>
                <w:rFonts w:ascii="Arial" w:hAnsi="Arial" w:cs="Arial"/>
                <w:color w:val="000000"/>
                <w:sz w:val="21"/>
                <w:szCs w:val="21"/>
              </w:rPr>
              <w:t>PHÓ CHỦ TICH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Đào Anh Dũng</w:t>
            </w:r>
          </w:p>
        </w:tc>
      </w:tr>
    </w:tbl>
    <w:p w14:paraId="6FF7EEF2" w14:textId="304935C5" w:rsidR="006263BE" w:rsidRPr="00B72304" w:rsidRDefault="006263BE" w:rsidP="00B72304"/>
    <w:sectPr w:rsidR="006263BE" w:rsidRPr="00B72304"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84A9D" w14:textId="77777777" w:rsidR="007D2CB4" w:rsidRDefault="007D2CB4">
      <w:r>
        <w:separator/>
      </w:r>
    </w:p>
  </w:endnote>
  <w:endnote w:type="continuationSeparator" w:id="0">
    <w:p w14:paraId="2C8D824B" w14:textId="77777777" w:rsidR="007D2CB4" w:rsidRDefault="007D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113A4" w14:textId="77777777" w:rsidR="007D2CB4" w:rsidRDefault="007D2CB4">
      <w:r>
        <w:separator/>
      </w:r>
    </w:p>
  </w:footnote>
  <w:footnote w:type="continuationSeparator" w:id="0">
    <w:p w14:paraId="401150FB" w14:textId="77777777" w:rsidR="007D2CB4" w:rsidRDefault="007D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D2CB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29E1"/>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13.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o-chuc-chinh-quyen-dia-phuong-nam-2015.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quyet-dinh-04-2008-qd-bxd-cua-bo-xay-dung-ve-viec-ban-hanh-quy-chuan-ky-thuat-quoc-gia-ve-quy-hoach-xay-dung-.aspx" TargetMode="External"/><Relationship Id="rId4" Type="http://schemas.openxmlformats.org/officeDocument/2006/relationships/webSettings" Target="webSettings.xml"/><Relationship Id="rId9" Type="http://schemas.openxmlformats.org/officeDocument/2006/relationships/hyperlink" Target="https://admin.luatminhkhue.vn/van-ban/nghi-dinh-01-2017-nd-cp-quy-dinh-chi-tiet-thi-hanh-luat-dat-dai.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5</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400</cp:revision>
  <dcterms:created xsi:type="dcterms:W3CDTF">2024-12-02T03:13:00Z</dcterms:created>
  <dcterms:modified xsi:type="dcterms:W3CDTF">2025-01-20T06:15:00Z</dcterms:modified>
</cp:coreProperties>
</file>