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E1430F" w14:paraId="2534D87C" w14:textId="77777777" w:rsidTr="00E1430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B101B" w14:textId="77777777" w:rsidR="00E1430F" w:rsidRDefault="00E1430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TỈNH AN GIANG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59FEC" w14:textId="77777777" w:rsidR="00E1430F" w:rsidRDefault="00E14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1430F" w14:paraId="027F6C5E" w14:textId="77777777" w:rsidTr="00E1430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1C5EA" w14:textId="77777777" w:rsidR="00E1430F" w:rsidRDefault="00E143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19/2023/QĐ-UBND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29D09" w14:textId="77777777" w:rsidR="00E1430F" w:rsidRDefault="00E1430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An Giang, ngày 08 tháng 5 năm 2023</w:t>
            </w:r>
          </w:p>
        </w:tc>
      </w:tr>
    </w:tbl>
    <w:p w14:paraId="6D6CFCA1" w14:textId="77777777" w:rsidR="00E1430F" w:rsidRDefault="00E1430F" w:rsidP="00E14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924AC52" w14:textId="77777777" w:rsidR="00E1430F" w:rsidRDefault="00E1430F" w:rsidP="00E143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VỀ CÁC ĐỊNH MỨC SỬ DỤNG ĐẤT TRÊN ĐỊA BÀN TỈNH AN GIANG</w:t>
      </w:r>
    </w:p>
    <w:p w14:paraId="5EF38BB2" w14:textId="77777777" w:rsidR="00E1430F" w:rsidRDefault="00E1430F" w:rsidP="00E14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 AN GIANG</w:t>
      </w:r>
    </w:p>
    <w:p w14:paraId="40431790"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68EBB85E"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 </w:t>
      </w:r>
      <w:hyperlink r:id="rId10"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360CCBCF"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Đất đai ngày 29 tháng 11 năm 2013;</w:t>
      </w:r>
    </w:p>
    <w:p w14:paraId="23F39FFD"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 tháng 5 năm 2014 của Chính phủ quy định chi tiết thi hành một số điều của Luật Đất đai;</w:t>
      </w:r>
    </w:p>
    <w:p w14:paraId="544D73F1"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01/2017/NĐ-CP</w:t>
        </w:r>
      </w:hyperlink>
      <w:r>
        <w:rPr>
          <w:rStyle w:val="Emphasis"/>
          <w:rFonts w:ascii="Arial" w:hAnsi="Arial" w:cs="Arial"/>
          <w:color w:val="000000"/>
          <w:sz w:val="21"/>
          <w:szCs w:val="21"/>
        </w:rPr>
        <w:t> ngày 06 tháng 01 năm 2017 của Chính phủ sửa đổi, bổ sung một số Nghị định quy định chi tiết thi hành Luật Đất đai;</w:t>
      </w:r>
    </w:p>
    <w:p w14:paraId="3A65C5E2"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148/2020/NĐ-CP</w:t>
        </w:r>
      </w:hyperlink>
      <w:r>
        <w:rPr>
          <w:rStyle w:val="Emphasis"/>
          <w:rFonts w:ascii="Arial" w:hAnsi="Arial" w:cs="Arial"/>
          <w:color w:val="000000"/>
          <w:sz w:val="21"/>
          <w:szCs w:val="21"/>
        </w:rPr>
        <w:t> ngày 18 tháng 12 năm 2020 của Chính phủ sửa đổi, bổ sung một số Nghị định quy định chi tiết thi hành Luật Đất đai;</w:t>
      </w:r>
    </w:p>
    <w:p w14:paraId="6D654711"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w:t>
      </w:r>
    </w:p>
    <w:p w14:paraId="61643A74" w14:textId="77777777" w:rsidR="00E1430F" w:rsidRDefault="00E1430F" w:rsidP="00E14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D2367E7"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Ban hành kèm theo Quyết định này Quy định về các định mức sử dụng đất trên địa bàn tỉnh An Giang.</w:t>
      </w:r>
    </w:p>
    <w:p w14:paraId="3255FB1C"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kể từ ngày 25 tháng 5 năm 2023 và thay thế Quyết định số </w:t>
      </w:r>
      <w:hyperlink r:id="rId14" w:history="1">
        <w:r>
          <w:rPr>
            <w:rStyle w:val="Hyperlink"/>
            <w:rFonts w:ascii="Arial" w:hAnsi="Arial" w:cs="Arial"/>
            <w:color w:val="135ECD"/>
            <w:sz w:val="21"/>
            <w:szCs w:val="21"/>
          </w:rPr>
          <w:t>08/2020/QĐ-UBND</w:t>
        </w:r>
      </w:hyperlink>
      <w:r>
        <w:rPr>
          <w:rFonts w:ascii="Arial" w:hAnsi="Arial" w:cs="Arial"/>
          <w:color w:val="000000"/>
          <w:sz w:val="21"/>
          <w:szCs w:val="21"/>
        </w:rPr>
        <w:t> ngày 25 tháng 02 năm 2020 của Ủy ban nhân dân tỉnh quy định về các định mức sử dụng đất trên địa bàn tỉnh An Giang.</w:t>
      </w:r>
    </w:p>
    <w:p w14:paraId="278F341F"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w:t>
      </w:r>
      <w:r>
        <w:rPr>
          <w:rFonts w:ascii="Arial" w:hAnsi="Arial" w:cs="Arial"/>
          <w:color w:val="000000"/>
          <w:sz w:val="21"/>
          <w:szCs w:val="21"/>
        </w:rPr>
        <w:t>Chánh Văn phòng Ủy ban nhân dân tỉnh; Thủ trưởng các Sở, ban, ngành tỉnh; Chủ tịch Ủy ban nhân dân huyện, thị xã, thành phố và các tổ chức, cá nhân có liên quan chịu trách nhiệm thi hành Quyết định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E1430F" w14:paraId="1A1FE802" w14:textId="77777777" w:rsidTr="00E1430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F3FA9" w14:textId="77777777" w:rsidR="00E1430F" w:rsidRDefault="00E1430F" w:rsidP="00E1430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Bộ Tài nguyên và Môi trường;</w:t>
            </w:r>
            <w:r>
              <w:rPr>
                <w:rFonts w:ascii="Arial" w:hAnsi="Arial" w:cs="Arial"/>
                <w:color w:val="000000"/>
                <w:sz w:val="21"/>
                <w:szCs w:val="21"/>
              </w:rPr>
              <w:br/>
              <w:t>- Website Chính phủ;</w:t>
            </w:r>
            <w:r>
              <w:rPr>
                <w:rFonts w:ascii="Arial" w:hAnsi="Arial" w:cs="Arial"/>
                <w:color w:val="000000"/>
                <w:sz w:val="21"/>
                <w:szCs w:val="21"/>
              </w:rPr>
              <w:br/>
              <w:t>- Cục Kiểm tra văn bản QPPL - Bộ Tư pháp;</w:t>
            </w:r>
            <w:r>
              <w:rPr>
                <w:rFonts w:ascii="Arial" w:hAnsi="Arial" w:cs="Arial"/>
                <w:color w:val="000000"/>
                <w:sz w:val="21"/>
                <w:szCs w:val="21"/>
              </w:rPr>
              <w:br/>
              <w:t>- TT.TU, HĐND tỉnh, UBMTTQ tỉnh;</w:t>
            </w:r>
            <w:r>
              <w:rPr>
                <w:rFonts w:ascii="Arial" w:hAnsi="Arial" w:cs="Arial"/>
                <w:color w:val="000000"/>
                <w:sz w:val="21"/>
                <w:szCs w:val="21"/>
              </w:rPr>
              <w:br/>
              <w:t>- Chủ tịch và PCT UBND tỉnh;</w:t>
            </w:r>
            <w:r>
              <w:rPr>
                <w:rFonts w:ascii="Arial" w:hAnsi="Arial" w:cs="Arial"/>
                <w:color w:val="000000"/>
                <w:sz w:val="21"/>
                <w:szCs w:val="21"/>
              </w:rPr>
              <w:br/>
              <w:t>- Sở, Ban, Ngành, Đoàn thể cấp tỉnh;</w:t>
            </w:r>
            <w:r>
              <w:rPr>
                <w:rFonts w:ascii="Arial" w:hAnsi="Arial" w:cs="Arial"/>
                <w:color w:val="000000"/>
                <w:sz w:val="21"/>
                <w:szCs w:val="21"/>
              </w:rPr>
              <w:br/>
              <w:t>- UBND huyện, thị xã, thành phố;</w:t>
            </w:r>
            <w:r>
              <w:rPr>
                <w:rFonts w:ascii="Arial" w:hAnsi="Arial" w:cs="Arial"/>
                <w:color w:val="000000"/>
                <w:sz w:val="21"/>
                <w:szCs w:val="21"/>
              </w:rPr>
              <w:br/>
              <w:t>- Lãnh đạo Văn phòng UBND tỉnh;</w:t>
            </w:r>
            <w:r>
              <w:rPr>
                <w:rFonts w:ascii="Arial" w:hAnsi="Arial" w:cs="Arial"/>
                <w:color w:val="000000"/>
                <w:sz w:val="21"/>
                <w:szCs w:val="21"/>
              </w:rPr>
              <w:br/>
              <w:t>- Website tỉnh An Giang;</w:t>
            </w:r>
            <w:r>
              <w:rPr>
                <w:rFonts w:ascii="Arial" w:hAnsi="Arial" w:cs="Arial"/>
                <w:color w:val="000000"/>
                <w:sz w:val="21"/>
                <w:szCs w:val="21"/>
              </w:rPr>
              <w:br/>
              <w:t>- Trung tâm Công báo - Tin học;</w:t>
            </w:r>
            <w:r>
              <w:rPr>
                <w:rFonts w:ascii="Arial" w:hAnsi="Arial" w:cs="Arial"/>
                <w:color w:val="000000"/>
                <w:sz w:val="21"/>
                <w:szCs w:val="21"/>
              </w:rPr>
              <w:br/>
              <w:t>- Phòng: NC, KTTH, TH, KGVX, KTN;</w:t>
            </w:r>
            <w:r>
              <w:rPr>
                <w:rFonts w:ascii="Arial" w:hAnsi="Arial" w:cs="Arial"/>
                <w:color w:val="000000"/>
                <w:sz w:val="21"/>
                <w:szCs w:val="21"/>
              </w:rPr>
              <w:br/>
              <w:t>- Lưu: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A0B4A" w14:textId="77777777" w:rsidR="00E1430F" w:rsidRDefault="00E14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KT. CHỦ TỊCH</w:t>
            </w:r>
            <w:r>
              <w:rPr>
                <w:rFonts w:ascii="Arial" w:hAnsi="Arial" w:cs="Arial"/>
                <w:b/>
                <w:bCs/>
                <w:color w:val="000000"/>
                <w:sz w:val="21"/>
                <w:szCs w:val="21"/>
              </w:rPr>
              <w:br/>
            </w:r>
            <w:r>
              <w:rPr>
                <w:rStyle w:val="Strong"/>
                <w:rFonts w:ascii="Arial" w:hAnsi="Arial" w:cs="Arial"/>
                <w:color w:val="000000"/>
                <w:sz w:val="21"/>
                <w:szCs w:val="21"/>
              </w:rPr>
              <w:t>PHÓ 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Anh Thư</w:t>
            </w:r>
          </w:p>
        </w:tc>
      </w:tr>
    </w:tbl>
    <w:p w14:paraId="55144B33" w14:textId="77777777" w:rsidR="00E1430F" w:rsidRDefault="00E1430F" w:rsidP="00E1430F">
      <w:pPr>
        <w:pStyle w:val="NormalWeb"/>
        <w:spacing w:after="90" w:afterAutospacing="0" w:line="345" w:lineRule="atLeast"/>
        <w:jc w:val="center"/>
        <w:rPr>
          <w:rFonts w:ascii="Arial" w:hAnsi="Arial" w:cs="Arial"/>
          <w:color w:val="000000"/>
          <w:sz w:val="21"/>
          <w:szCs w:val="21"/>
        </w:rPr>
      </w:pPr>
    </w:p>
    <w:p w14:paraId="0695BF65" w14:textId="77777777" w:rsidR="00E1430F" w:rsidRDefault="00E1430F" w:rsidP="00E14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39DC2D54" w14:textId="77777777" w:rsidR="00E1430F" w:rsidRDefault="00E1430F" w:rsidP="00E143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CÁC ĐỊNH MỨC SỬ DỤNG ĐẤT TRÊN ĐỊA BÀN TỈNH AN GIANG</w:t>
      </w:r>
      <w:r>
        <w:rPr>
          <w:rFonts w:ascii="Arial" w:hAnsi="Arial" w:cs="Arial"/>
          <w:color w:val="000000"/>
          <w:sz w:val="21"/>
          <w:szCs w:val="21"/>
        </w:rPr>
        <w:br/>
      </w:r>
      <w:r>
        <w:rPr>
          <w:rStyle w:val="Emphasis"/>
          <w:rFonts w:ascii="Arial" w:hAnsi="Arial" w:cs="Arial"/>
          <w:color w:val="000000"/>
          <w:sz w:val="21"/>
          <w:szCs w:val="21"/>
        </w:rPr>
        <w:t>(Ban hành kèm theo Quyết định số 19/2023/QĐ-UBND ngày 08 tháng 5 năm 2023 của Ủy ban nhân dân tỉnh An Giang)</w:t>
      </w:r>
    </w:p>
    <w:p w14:paraId="4EC3CCBA"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891D3E9"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này quy định về các định mức sử dụng đất trên địa bàn tỉnh An Giang, bao gồm: hạn mức đất ở; hạn mức giao đất trống, đồi núi trọc, đất có mặt nước thuộc nhóm đất chưa sử dụng; diện tích tối thiểu được tách thửa và điều kiện tách thửa đất cụ thể.</w:t>
      </w:r>
    </w:p>
    <w:p w14:paraId="1D7B7168"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định mức sử dụng đất khác (hạn mức giao đất trồng cây hàng năm, đất nuôi trồng thủy sản, đất trồng cây lâu năm, đất rừng phòng hộ, rừng sản xuất cho hộ gia đình, cá nhân; hạn mức nhận chuyển quyền sử dụng đất nông nghiệp) thực hiện theo quy định của Luật Đất đai, các Nghị định của Chính phủ hướng dẫn thi hành Luật Đất đai.</w:t>
      </w:r>
    </w:p>
    <w:p w14:paraId="23BA5B81"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F552A99"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thực hiện chức năng quản lý nhà nước về đất đai, cơ quan thuế, cơ quan công chứng, chứng thực.</w:t>
      </w:r>
    </w:p>
    <w:p w14:paraId="414FF50A"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khác có liên quan đến việc quản lý, sử dụng đất đai.</w:t>
      </w:r>
    </w:p>
    <w:p w14:paraId="33786915"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đất tại Điều 5 Luật Đất đai.</w:t>
      </w:r>
    </w:p>
    <w:p w14:paraId="2D642C69"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Hạn mức đất ở đối với hộ gia đình, cá nhân</w:t>
      </w:r>
    </w:p>
    <w:p w14:paraId="7708938E"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đất ở đối với hộ gia đình, cá nhân được quy định như sau:</w:t>
      </w:r>
    </w:p>
    <w:p w14:paraId="1F119F81"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tại các phường: 200 m</w:t>
      </w:r>
      <w:r>
        <w:rPr>
          <w:rFonts w:ascii="Arial" w:hAnsi="Arial" w:cs="Arial"/>
          <w:color w:val="000000"/>
          <w:sz w:val="21"/>
          <w:szCs w:val="21"/>
          <w:vertAlign w:val="superscript"/>
        </w:rPr>
        <w:t>2</w:t>
      </w:r>
      <w:r>
        <w:rPr>
          <w:rFonts w:ascii="Arial" w:hAnsi="Arial" w:cs="Arial"/>
          <w:color w:val="000000"/>
          <w:sz w:val="21"/>
          <w:szCs w:val="21"/>
        </w:rPr>
        <w:t>.</w:t>
      </w:r>
    </w:p>
    <w:p w14:paraId="0220E784"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tại các thị trấn: 300 m</w:t>
      </w:r>
      <w:r>
        <w:rPr>
          <w:rFonts w:ascii="Arial" w:hAnsi="Arial" w:cs="Arial"/>
          <w:color w:val="000000"/>
          <w:sz w:val="21"/>
          <w:szCs w:val="21"/>
          <w:vertAlign w:val="superscript"/>
        </w:rPr>
        <w:t>2</w:t>
      </w:r>
      <w:r>
        <w:rPr>
          <w:rFonts w:ascii="Arial" w:hAnsi="Arial" w:cs="Arial"/>
          <w:color w:val="000000"/>
          <w:sz w:val="21"/>
          <w:szCs w:val="21"/>
        </w:rPr>
        <w:t>.</w:t>
      </w:r>
    </w:p>
    <w:p w14:paraId="435E69A7"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tại các xã: 600 m</w:t>
      </w:r>
      <w:r>
        <w:rPr>
          <w:rFonts w:ascii="Arial" w:hAnsi="Arial" w:cs="Arial"/>
          <w:color w:val="000000"/>
          <w:sz w:val="21"/>
          <w:szCs w:val="21"/>
          <w:vertAlign w:val="superscript"/>
        </w:rPr>
        <w:t>2</w:t>
      </w:r>
      <w:r>
        <w:rPr>
          <w:rFonts w:ascii="Arial" w:hAnsi="Arial" w:cs="Arial"/>
          <w:color w:val="000000"/>
          <w:sz w:val="21"/>
          <w:szCs w:val="21"/>
        </w:rPr>
        <w:t>.</w:t>
      </w:r>
    </w:p>
    <w:p w14:paraId="1807F614"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mức đất ở quy định tại khoản 1 Điều này được áp dụng để:</w:t>
      </w:r>
    </w:p>
    <w:p w14:paraId="04780F8C"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ở cho hộ gia đình, cá nhân tự xây dựng nhà ở (trừ trường hợp giao đất do trúng đấu giá quyền sử dụng đất).</w:t>
      </w:r>
    </w:p>
    <w:p w14:paraId="0CF91CC5"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nhận quyền sử dụng đất ở đối với trường hợp đang sử dụng đất ở nhưng hộ gia đình, cá nhân không có một trong các loại giấy tờ về quyền sử dụng đất theo quy định của pháp luật đất đai.</w:t>
      </w:r>
    </w:p>
    <w:p w14:paraId="4BD159CD"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nhận quyền sử dụng đất ở đối với trường hợp thửa đất ở có vườn, ao theo quy định của pháp luật về đất đai.</w:t>
      </w:r>
    </w:p>
    <w:p w14:paraId="396EFC11"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hạn mức đất ở để thu tiền sử dụng đất; xem xét miễn, giảm các khoản thu có liên quan khi thực hiện thủ tục hành chính về đất đai; thu thuế sử dụng đất ở.</w:t>
      </w:r>
    </w:p>
    <w:p w14:paraId="71C8F5E9"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quy hoạch, kế hoạch sử dụng đất.</w:t>
      </w:r>
    </w:p>
    <w:p w14:paraId="458ECE66"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Hạn mức giao đất trống, đồi núi trọc, đất có mặt nước thuộc nhóm đất chưa sử dụng</w:t>
      </w:r>
    </w:p>
    <w:p w14:paraId="1291087B"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mức giao đất trống, đồi núi trọc, đất có mặt nước thuộc nhóm đất chưa sử dụng cho hộ gia đình, cá nhân đưa vào sử dụng theo quy hoạch, kế hoạch sử dụng đất để sản xuất nông nghiệp, lâm nghiệp, nuôi trồng thủy sản không quá 03 héc ta.</w:t>
      </w:r>
    </w:p>
    <w:p w14:paraId="60FF1FF6"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Diện tích tối thiểu được tách thửa</w:t>
      </w:r>
    </w:p>
    <w:p w14:paraId="367A12EF"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tối thiểu được tách thửa được quy định như sau:</w:t>
      </w:r>
    </w:p>
    <w:p w14:paraId="04352A41"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Đơn vị tính: mét vuông</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0"/>
        <w:gridCol w:w="1554"/>
        <w:gridCol w:w="1531"/>
        <w:gridCol w:w="1491"/>
      </w:tblGrid>
      <w:tr w:rsidR="00E1430F" w14:paraId="120A86BD" w14:textId="77777777" w:rsidTr="00E1430F">
        <w:trPr>
          <w:tblCellSpacing w:w="0" w:type="dxa"/>
        </w:trPr>
        <w:tc>
          <w:tcPr>
            <w:tcW w:w="59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2A169" w14:textId="77777777" w:rsidR="00E1430F" w:rsidRDefault="00E14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đất</w:t>
            </w:r>
          </w:p>
        </w:tc>
        <w:tc>
          <w:tcPr>
            <w:tcW w:w="55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6E98D" w14:textId="77777777" w:rsidR="00E1430F" w:rsidRDefault="00E14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bàn</w:t>
            </w:r>
          </w:p>
        </w:tc>
      </w:tr>
      <w:tr w:rsidR="00E1430F" w14:paraId="229F4D2F" w14:textId="77777777" w:rsidTr="00E1430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DFC332" w14:textId="77777777" w:rsidR="00E1430F" w:rsidRDefault="00E1430F">
            <w:pPr>
              <w:spacing w:line="375" w:lineRule="atLeast"/>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03A64" w14:textId="77777777" w:rsidR="00E1430F" w:rsidRDefault="00E14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Phường</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CF761" w14:textId="77777777" w:rsidR="00E1430F" w:rsidRDefault="00E14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Thị trấn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B1130" w14:textId="77777777" w:rsidR="00E1430F" w:rsidRDefault="00E14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Xã</w:t>
            </w:r>
          </w:p>
        </w:tc>
      </w:tr>
      <w:tr w:rsidR="00E1430F" w14:paraId="140DCC60" w14:textId="77777777" w:rsidTr="00E1430F">
        <w:trPr>
          <w:tblCellSpacing w:w="0" w:type="dxa"/>
        </w:trPr>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0C988" w14:textId="77777777" w:rsidR="00E1430F" w:rsidRDefault="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trồng lúa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04EDC" w14:textId="77777777" w:rsidR="00E1430F" w:rsidRDefault="00E143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500</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E0958" w14:textId="77777777" w:rsidR="00E1430F" w:rsidRDefault="00E143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500</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92A06" w14:textId="77777777" w:rsidR="00E1430F" w:rsidRDefault="00E143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w:t>
            </w:r>
          </w:p>
        </w:tc>
      </w:tr>
      <w:tr w:rsidR="00E1430F" w14:paraId="58B5DC97" w14:textId="77777777" w:rsidTr="00E1430F">
        <w:trPr>
          <w:tblCellSpacing w:w="0" w:type="dxa"/>
        </w:trPr>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62815" w14:textId="77777777" w:rsidR="00E1430F" w:rsidRDefault="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trồng rừng</w:t>
            </w:r>
          </w:p>
        </w:tc>
        <w:tc>
          <w:tcPr>
            <w:tcW w:w="55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CAA16" w14:textId="77777777" w:rsidR="00E1430F" w:rsidRDefault="00E143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3.000</w:t>
            </w:r>
          </w:p>
        </w:tc>
      </w:tr>
      <w:tr w:rsidR="00E1430F" w14:paraId="50B12C58" w14:textId="77777777" w:rsidTr="00E1430F">
        <w:trPr>
          <w:tblCellSpacing w:w="0" w:type="dxa"/>
        </w:trPr>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C7B73" w14:textId="77777777" w:rsidR="00E1430F" w:rsidRDefault="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đất nông nghiệp còn lại</w:t>
            </w:r>
          </w:p>
        </w:tc>
        <w:tc>
          <w:tcPr>
            <w:tcW w:w="55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8C883" w14:textId="77777777" w:rsidR="00E1430F" w:rsidRDefault="00E143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500</w:t>
            </w:r>
          </w:p>
        </w:tc>
      </w:tr>
      <w:tr w:rsidR="00E1430F" w14:paraId="51ABA3B5" w14:textId="77777777" w:rsidTr="00E1430F">
        <w:trPr>
          <w:tblCellSpacing w:w="0" w:type="dxa"/>
        </w:trPr>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F153E" w14:textId="77777777" w:rsidR="00E1430F" w:rsidRDefault="00E143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Đất ở</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ECD3B" w14:textId="77777777" w:rsidR="00E1430F" w:rsidRDefault="00E143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424E1" w14:textId="77777777" w:rsidR="00E1430F" w:rsidRDefault="00E143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79A6A" w14:textId="77777777" w:rsidR="00E1430F" w:rsidRDefault="00E143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w:t>
            </w:r>
          </w:p>
        </w:tc>
      </w:tr>
      <w:tr w:rsidR="00E1430F" w14:paraId="19C3AE8C" w14:textId="77777777" w:rsidTr="00E1430F">
        <w:trPr>
          <w:tblCellSpacing w:w="0" w:type="dxa"/>
        </w:trPr>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4305E" w14:textId="77777777" w:rsidR="00E1430F" w:rsidRDefault="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thương mại dịch vụ; đất cơ sở sản xuất phi nông nghiệp</w:t>
            </w:r>
          </w:p>
        </w:tc>
        <w:tc>
          <w:tcPr>
            <w:tcW w:w="55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06947" w14:textId="77777777" w:rsidR="00E1430F" w:rsidRDefault="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hoạch chi tiết xây dựng hoặc quy hoạch điểm dân cư nông thôn được phê duyệt</w:t>
            </w:r>
          </w:p>
        </w:tc>
      </w:tr>
    </w:tbl>
    <w:p w14:paraId="030BFDF7"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kiện tách thửa đất cụ thể</w:t>
      </w:r>
    </w:p>
    <w:p w14:paraId="7E1A9CAE"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tách thửa đất phải đáp ứng các điều kiện sau:</w:t>
      </w:r>
    </w:p>
    <w:p w14:paraId="5DF9C901"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đất ở, đất thương mại dịch vụ, đất cơ sở sản xuất phi nông nghiệp sau khi tách ra phải có ít nhất một cạnh tiếp giáp đường giao thông (là đường giao thông công cộng hiện hữu hoặc tiếp giáp mương lộ mà mương lộ này có lối đi ra đường giao thông công cộng hiện hữu).</w:t>
      </w:r>
    </w:p>
    <w:p w14:paraId="52A11DA1"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Chiều dài hoặc chiều ngang của cạnh thửa đất ở tiếp giáp đường giao thông sau khi tách ra tối thiểu phải bằng 4 mét.</w:t>
      </w:r>
    </w:p>
    <w:p w14:paraId="09FA8368"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Nguyên tắc áp dụng diện tích tối thiểu, điều kiện tách thửa cụ thể</w:t>
      </w:r>
    </w:p>
    <w:p w14:paraId="6A8FDF0E"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khu vực đã được phê duyệt quy hoạch chi tiết xây dựng thì việc tách thửa đất phải phù hợp với quy hoạch chi tiết xây dựng.</w:t>
      </w:r>
    </w:p>
    <w:p w14:paraId="2C6D17B8"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khu vực chưa được phê duyệt quy hoạch chi tiết xây dựng thì áp dụng diện tích tối thiểu và điều kiện tách thửa cụ thể theo Quy định này.</w:t>
      </w:r>
    </w:p>
    <w:p w14:paraId="7033BC71"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tách thửa đất phải gắn với thực hiện các quyền của người sử dụng đất như: chuyển nhượng, tặng cho, thừa kế, góp vốn bằng quyền sử dụng một phần thửa đất; tách thửa do chia tách hộ gia đình, nhóm người sử dụng đất; tách thửa để chuyển mục đích sử dụng một phần thửa đất theo quy định pháp luật đất đai.</w:t>
      </w:r>
    </w:p>
    <w:p w14:paraId="0BD129A6"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tách thửa đất các trường hợp đặc biệt thì áp dụng Điều 9 Quy định này.</w:t>
      </w:r>
    </w:p>
    <w:p w14:paraId="72377CAD"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Các trường hợp tách thửa không áp dụng diện tích tối thiểu và điều kiện tách thửa cụ thể</w:t>
      </w:r>
    </w:p>
    <w:p w14:paraId="55B6DB9A"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Tách thửa đất để thực hiện dự án đầu tư được cơ quan có thẩm quyền cho chủ trương thực hiện; sử dụng vào mục đích an ninh, quốc phòng, lợi ích quốc gia, lợi ích công cộng.</w:t>
      </w:r>
    </w:p>
    <w:p w14:paraId="63138C5E"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Tách thửa đất do Nhà nước thu hồi đất; để hiến, tặng cho Nhà nước thực hiện các dự án, công trình phục vụ cho phát triển kinh tế - xã hội của địa phương.</w:t>
      </w:r>
    </w:p>
    <w:p w14:paraId="7FFCE1CA"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Tách thửa đất để Nhà nước giao đất cho hộ gia đình, cá nhân thuộc diện chính sách.</w:t>
      </w:r>
    </w:p>
    <w:p w14:paraId="236EF4F3"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Tách thửa đất để thực hiện quyết định hành chính giải quyết tranh chấp, khiếu nại về đất đai; tách thửa đất theo bản án hoặc quyết định của Tòa án nhân dân đã có hiệu lực pháp luật, quyết định thi hành án của cơ quan thi hành án đã được thi hành.</w:t>
      </w:r>
    </w:p>
    <w:p w14:paraId="72B7DDC6"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Xử lý việc tách thửa trong một số trường hợp đặc biệt</w:t>
      </w:r>
    </w:p>
    <w:p w14:paraId="12C3EA6C"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tách thửa đất nông nghiệp để chuyển mục đích sang đất phi nông nghiệp thì chỉ áp dụng diện tích tối thiểu và điều kiện tách thửa cụ thể đối với phần diện tích chuyển mục đích.</w:t>
      </w:r>
    </w:p>
    <w:p w14:paraId="0104DD85"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tách thửa đất nông nghiệp để chuyển mục đích sang đất phi nông nghiệp mà phần diện tích chuyển mục đích nằm liền kề phía sau thửa đất phi nông nghiệp tiếp giáp với đường giao thông và cùng một chủ sử dụng đất thì được tách thửa nếu sau khi chuyển mục đích đủ điều kiện hợp thửa với thửa đất phi nông nghiệp phía trước và thửa đất hợp lại đó đáp ứng diện tích tối thiểu và điều kiện tách thửa cụ thể.</w:t>
      </w:r>
    </w:p>
    <w:p w14:paraId="32B2F835"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thửa đất xin chuyển mục đích sang đất ở mà phía trước hoặc phía sau đã cắt trừ phần diện tích đất nông nghiệp thuộc hành lang lộ giới, biên quy hoạch giao thông, hành lang sông rạch không cho chuyển mục đích, nếu phần diện tích đất ở xin chuyển mục đích đảm bảo diện tích tối thiểu và điều kiện tách thửa theo Quy định này thì phần diện tích đất nông nghiệp thuộc hành lang lộ giới, biên quy hoạch giao thông, hành lang sông rạch được phép tách thửa theo thửa đất ở.</w:t>
      </w:r>
    </w:p>
    <w:p w14:paraId="16E8C846"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đất nông nghiệp gắn liền với đất ở (đất ở + đất trồng cây lâu năm, đất ở + đất trồng cây lâu năm khác, đất ở + đất ao,...) thì khi tách thửa phần diện tích đất ở phải đảm bảo diện tích tối thiểu và điều kiện tách thửa, phần đất nông nghiệp tách theo đất ở không áp dụng diện tích tối thiểu và điều kiện tách thửa.</w:t>
      </w:r>
    </w:p>
    <w:p w14:paraId="7B57DB30"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tách thửa đất thành thửa có diện tích nhỏ hơn diện tích tối thiểu để hợp thửa với thửa đất khác liền kề (không phát sinh thêm số thửa mới) thì chỉ áp dụng diện tích tối thiểu và điều kiện tách thửa cụ thể đối với phần diện tích đất còn lại.</w:t>
      </w:r>
    </w:p>
    <w:p w14:paraId="7480BA01"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Trường hợp tách thửa đất ở có một phần đã xây dựng nhà ở trước ngày 02/01/2017 (ngày Quyết định số 103/2017/QĐ-UBND của Ủy ban nhân dân tỉnh quy định về các định mức sử dụng đất trên địa bàn tỉnh An Giang có hiệu lực thi hành) thành diện tích theo nhà ở và phần diện tích đất còn lại thì chỉ áp dụng diện tích tối thiểu và điều kiện tách thửa cụ thể đối với phần diện tích đất còn lại.</w:t>
      </w:r>
    </w:p>
    <w:p w14:paraId="096CC0D0"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thửa đất ở đã xây dựng nhiều nhà ở xin tách riêng từng phần diện tích đất ở đã có nhà ở thì được tách thửa theo diện tích nhà ở nếu đáp ứng điều kiện tách thửa cụ thể.</w:t>
      </w:r>
    </w:p>
    <w:p w14:paraId="2C2D9633"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các thửa đất ở đã xây dựng nhà ở thuộc khu dân cư xin tách thửa đồng thời với việc hợp thửa để đúng với hiện trạng xây dựng thực tế từng nhà ở (không phát sinh thêm số thửa mới) thì được phép tách thửa đồng thời với việc hợp thửa sau khi Ủy ban nhân dân huyện, thị xã, thành phố rà soát, điều chỉnh quy hoạch chi tiết tỷ lệ 1/500 cho phù hợp với từng khu dân cư cụ thể.</w:t>
      </w:r>
    </w:p>
    <w:p w14:paraId="6BE7E390"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khoản chuyển tiếp</w:t>
      </w:r>
    </w:p>
    <w:p w14:paraId="3A11FEA1"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đã tiếp nhận hồ sơ hợp lệ hoặc đã đo đạc hồ sơ địa chính, lập hợp đồng chuyển nhượng quyền sử dụng đất để tách thửa theo quy định của Quyết định số 08/2020/QĐ-UBND ngày 25/02/2020 được công chứng, chứng thực trước ngày Quyết định này có hiệu lực thi hành thì thực hiện theo quy định tại Quyết định số </w:t>
      </w:r>
      <w:hyperlink r:id="rId15" w:history="1">
        <w:r>
          <w:rPr>
            <w:rStyle w:val="Hyperlink"/>
            <w:rFonts w:ascii="Arial" w:hAnsi="Arial" w:cs="Arial"/>
            <w:color w:val="135ECD"/>
            <w:sz w:val="21"/>
            <w:szCs w:val="21"/>
          </w:rPr>
          <w:t>08/2020/QĐ-UBND</w:t>
        </w:r>
      </w:hyperlink>
      <w:r>
        <w:rPr>
          <w:rFonts w:ascii="Arial" w:hAnsi="Arial" w:cs="Arial"/>
          <w:color w:val="000000"/>
          <w:sz w:val="21"/>
          <w:szCs w:val="21"/>
        </w:rPr>
        <w:t>.</w:t>
      </w:r>
    </w:p>
    <w:p w14:paraId="5F622EF1"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Tổ chức thực hiện</w:t>
      </w:r>
    </w:p>
    <w:p w14:paraId="54AFC631"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Tài nguyên và Môi trường có trách nhiệm:</w:t>
      </w:r>
    </w:p>
    <w:p w14:paraId="76531C31"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Ủy ban nhân dân các huyện, thị xã, thành phố hướng dẫn quy trình, nghiệp vụ chuyên môn để kiểm soát, quản lý, ngăn chặn hành vi tách thửa đất theo phương thức phân lô bán nền trái pháp luật;</w:t>
      </w:r>
    </w:p>
    <w:p w14:paraId="6D6D6E32"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quy trình đo đạc địa chính để người sử dụng đất thực hiện các quyền sử dụng đất, thủ tục tách thửa đất, hợp thửa đất theo Quy định này.</w:t>
      </w:r>
    </w:p>
    <w:p w14:paraId="1A2971AC"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có trách nhiệm:</w:t>
      </w:r>
    </w:p>
    <w:p w14:paraId="42FA908D"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Tăng cường công tác thanh tra, kiểm tra, phát hiện, ngăn chặn việc tách thửa đất, phân lô bán nền tại các khu vực chưa được phép đầu tư, chưa đảm bảo hệ thống hạ tầng kỹ thuật để sinh hoạt và phòng cháy chữa cháy;</w:t>
      </w:r>
    </w:p>
    <w:p w14:paraId="21884C7D"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phân công các phòng ban chuyên môn và Ủy ban nhân dân cấp xã triển khai thực hiện Quy định này.</w:t>
      </w:r>
    </w:p>
    <w:p w14:paraId="04EB1408"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công chứng, chứng thực không được công chứng, chứng thực hợp đồng, giấy tờ có liên quan đến chuyển quyền sử dụng đất đối với trường hợp tách thửa đất mà không đảm bảo diện tích tối thiểu và điều kiện tách thửa cụ thể theo Quy định này.</w:t>
      </w:r>
    </w:p>
    <w:p w14:paraId="496C285C" w14:textId="77777777" w:rsidR="00E1430F" w:rsidRDefault="00E1430F" w:rsidP="00E14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Giao Sở Tài nguyên và Môi trường kiểm tra, đôn đốc việc thực hiện Quy định này; tổng hợp các khó khăn, vướng mắc để báo cáo Ủy ban nhân dân tỉnh xem xét, sửa đổi cho phù hợp./.</w:t>
      </w:r>
    </w:p>
    <w:p w14:paraId="6FF7EEF2" w14:textId="304935C5" w:rsidR="006263BE" w:rsidRPr="00E1430F" w:rsidRDefault="006263BE" w:rsidP="00E1430F"/>
    <w:sectPr w:rsidR="006263BE" w:rsidRPr="00E1430F" w:rsidSect="00EF16BB">
      <w:headerReference w:type="even" r:id="rId16"/>
      <w:headerReference w:type="default" r:id="rId17"/>
      <w:footerReference w:type="even" r:id="rId18"/>
      <w:footerReference w:type="default" r:id="rId19"/>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29DDB" w14:textId="77777777" w:rsidR="003C6719" w:rsidRDefault="003C6719">
      <w:r>
        <w:separator/>
      </w:r>
    </w:p>
  </w:endnote>
  <w:endnote w:type="continuationSeparator" w:id="0">
    <w:p w14:paraId="5DD811EC" w14:textId="77777777" w:rsidR="003C6719" w:rsidRDefault="003C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0A5B0" w14:textId="77777777" w:rsidR="003C6719" w:rsidRDefault="003C6719">
      <w:r>
        <w:separator/>
      </w:r>
    </w:p>
  </w:footnote>
  <w:footnote w:type="continuationSeparator" w:id="0">
    <w:p w14:paraId="1961C5F4" w14:textId="77777777" w:rsidR="003C6719" w:rsidRDefault="003C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C671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77A"/>
    <w:rsid w:val="00030AF2"/>
    <w:rsid w:val="000329E1"/>
    <w:rsid w:val="00034038"/>
    <w:rsid w:val="00035864"/>
    <w:rsid w:val="00037EC9"/>
    <w:rsid w:val="0004745A"/>
    <w:rsid w:val="000547E0"/>
    <w:rsid w:val="0005666F"/>
    <w:rsid w:val="00057A6B"/>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0CE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E0"/>
    <w:rsid w:val="005A2C59"/>
    <w:rsid w:val="005A3960"/>
    <w:rsid w:val="005A4658"/>
    <w:rsid w:val="005A52B1"/>
    <w:rsid w:val="005A6F08"/>
    <w:rsid w:val="005B2698"/>
    <w:rsid w:val="005B4429"/>
    <w:rsid w:val="005B4532"/>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4AE1"/>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5290"/>
    <w:rsid w:val="00AD22F3"/>
    <w:rsid w:val="00AE05E6"/>
    <w:rsid w:val="00AE4E46"/>
    <w:rsid w:val="00AE5F1E"/>
    <w:rsid w:val="00AE7437"/>
    <w:rsid w:val="00AF1570"/>
    <w:rsid w:val="00AF4C87"/>
    <w:rsid w:val="00B001E1"/>
    <w:rsid w:val="00B00B5A"/>
    <w:rsid w:val="00B00F6A"/>
    <w:rsid w:val="00B01233"/>
    <w:rsid w:val="00B0181C"/>
    <w:rsid w:val="00B028F9"/>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430F"/>
    <w:rsid w:val="00E16AD2"/>
    <w:rsid w:val="00E217EF"/>
    <w:rsid w:val="00E21D48"/>
    <w:rsid w:val="00E22EF9"/>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yperlink" Target="https://admin.luatminhkhue.vn/van-ban/nghi-dinh-148-2020-nd-cp-sua-doi-mot-so-nghi-dinh-huong-dan-luat-dat-dai.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min.luatminhkhue.vn/van-ban/luat-to-chuc-chinh-quyen-dia-phuong-nam-2015.aspx" TargetMode="External"/><Relationship Id="rId12" Type="http://schemas.openxmlformats.org/officeDocument/2006/relationships/hyperlink" Target="https://admin.luatminhkhue.vn/van-ban/nghi-dinh-01-2017-nd-cp-quy-dinh-chi-tiet-thi-hanh-luat-dat-dai.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so-43-2014-nd-cp.aspx" TargetMode="External"/><Relationship Id="rId5" Type="http://schemas.openxmlformats.org/officeDocument/2006/relationships/footnotes" Target="footnotes.xml"/><Relationship Id="rId15" Type="http://schemas.openxmlformats.org/officeDocument/2006/relationships/hyperlink" Target="https://admin.luatminhkhue.vn/van-ban/quyet-dinh-08-2020-qd-ubnd-tinh-an-giang.aspx" TargetMode="External"/><Relationship Id="rId10" Type="http://schemas.openxmlformats.org/officeDocument/2006/relationships/hyperlink" Target="https://admin.luatminhkhue.vn/van-ban/luat-ban-hanh-van-ban-quy-pham-phap-luat-sua-doi-bo-sung-nam-2020.asp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dmin.luatminhkhue.vn/van-ban/luat-ban-hanh-van-ban-quy-pham-phap-luat-nam-2015.aspx" TargetMode="External"/><Relationship Id="rId14" Type="http://schemas.openxmlformats.org/officeDocument/2006/relationships/hyperlink" Target="https://admin.luatminhkhue.vn/van-ban/quyet-dinh-08-2020-qd-ubnd-tinh-an-gia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7</Pages>
  <Words>1817</Words>
  <Characters>10363</Characters>
  <Application>Microsoft Office Word</Application>
  <DocSecurity>0</DocSecurity>
  <Lines>86</Lines>
  <Paragraphs>24</Paragraphs>
  <ScaleCrop>false</ScaleCrop>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404</cp:revision>
  <dcterms:created xsi:type="dcterms:W3CDTF">2024-12-02T03:13:00Z</dcterms:created>
  <dcterms:modified xsi:type="dcterms:W3CDTF">2025-01-20T07:10:00Z</dcterms:modified>
</cp:coreProperties>
</file>