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9E6075" w14:paraId="3F79C345" w14:textId="77777777" w:rsidTr="009E607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38250" w14:textId="77777777" w:rsidR="009E6075" w:rsidRDefault="009E607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BẠC LIÊU</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B214F" w14:textId="77777777" w:rsidR="009E6075" w:rsidRDefault="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E6075" w14:paraId="60524A19" w14:textId="77777777" w:rsidTr="009E607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4F34D" w14:textId="77777777" w:rsidR="009E6075" w:rsidRDefault="009E60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26/2018/QĐ-UBND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6A485" w14:textId="77777777" w:rsidR="009E6075" w:rsidRDefault="009E607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Bạc Liêu, ngày 05 tháng 11 năm 2018</w:t>
            </w:r>
          </w:p>
        </w:tc>
      </w:tr>
    </w:tbl>
    <w:p w14:paraId="4FF17B5F"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E16C0A0"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DIỆN TÍCH TỐI THIỂU ĐƯỢC PHÉP TÁCH THỬA ĐẤT MỚI VÀ THỬA ĐẤT CÒN LẠI SAU KHI TÁCH THỬA TRÊN ĐỊA BÀN TỈNH BẠC LIÊU</w:t>
      </w:r>
    </w:p>
    <w:p w14:paraId="49E8C784"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w:t>
      </w:r>
    </w:p>
    <w:p w14:paraId="023AE381"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28368975"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4F440CD2"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00ACB16E"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25 tháng 11 năm 2014;</w:t>
      </w:r>
    </w:p>
    <w:p w14:paraId="7C1F73F7"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5DB0D4F9"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99/2015/NĐ-CP</w:t>
        </w:r>
      </w:hyperlink>
      <w:r>
        <w:rPr>
          <w:rStyle w:val="Emphasis"/>
          <w:rFonts w:ascii="Arial" w:hAnsi="Arial" w:cs="Arial"/>
          <w:color w:val="000000"/>
          <w:sz w:val="21"/>
          <w:szCs w:val="21"/>
        </w:rPr>
        <w:t> ngày 20 tháng 10 năm 2015 của Chính phủ quy định chi tiết và hướng dẫn thi hành một số điều của Luật Nhà ở;</w:t>
      </w:r>
    </w:p>
    <w:p w14:paraId="63E73EC7"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về sửa đổi, bổ sung một số nghị định quy định chi tiết thi hành Luật Đất đai;</w:t>
      </w:r>
    </w:p>
    <w:p w14:paraId="39604ED5"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509/TTr-STNMT ngày 23 tháng 10 năm 2018,</w:t>
      </w:r>
    </w:p>
    <w:p w14:paraId="3EBD027E"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4156FB1"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diện tích tối thiểu được phép tách thửa đất mới và thửa đất còn lại sau khi tách thửa trên địa bàn tỉnh Bạc Liêu.</w:t>
      </w:r>
    </w:p>
    <w:p w14:paraId="756AC3E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Giao Giám đốc Sở Tài nguyên và Môi trường chủ trì, phối hợp với Thủ trưởng các Sở, Ban, Ngành có liên quan, Chủ tịch Ủy ban nhân dân các huyện, thị xã, thành phố tổ chức triển khai thực hiện Quyết định này.</w:t>
      </w:r>
    </w:p>
    <w:p w14:paraId="1BEB20D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Chánh Văn Phòng Ủy ban nhân dân tỉnh, Giám đốc Sở Tài nguyên và Môi trường, Chủ tịch Ủy ban nhân dân các huyện, thị xã, thành phố, Thủ trưởng các Sở, Ngành chức năng và các tổ chức, hộ gia đình, cá nhân có liên quan căn cứ quyết định thi hành.</w:t>
      </w:r>
    </w:p>
    <w:p w14:paraId="26584F98"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có hiệu lực thi hành kể từ ngày 20 tháng 11 năm 2018 và thay thế Quyết định số </w:t>
      </w:r>
      <w:hyperlink r:id="rId14" w:history="1">
        <w:r>
          <w:rPr>
            <w:rStyle w:val="Hyperlink"/>
            <w:rFonts w:ascii="Arial" w:hAnsi="Arial" w:cs="Arial"/>
            <w:color w:val="135ECD"/>
            <w:sz w:val="21"/>
            <w:szCs w:val="21"/>
          </w:rPr>
          <w:t>04/2015/QĐ-UBND</w:t>
        </w:r>
      </w:hyperlink>
      <w:r>
        <w:rPr>
          <w:rFonts w:ascii="Arial" w:hAnsi="Arial" w:cs="Arial"/>
          <w:color w:val="000000"/>
          <w:sz w:val="21"/>
          <w:szCs w:val="21"/>
        </w:rPr>
        <w:t> ngày 28 tháng 01 năm 2015 của Ủy ban dân tỉnh </w:t>
      </w:r>
      <w:r>
        <w:rPr>
          <w:rStyle w:val="Emphasis"/>
          <w:rFonts w:ascii="Arial" w:hAnsi="Arial" w:cs="Arial"/>
          <w:color w:val="000000"/>
          <w:sz w:val="21"/>
          <w:szCs w:val="21"/>
        </w:rPr>
        <w:t>“Ban hành Quy định diện tích tối thiểu đất ở; đất nông nghiệp gắn liền với đất ở được tách thửa và chuyển mục đích sử dụng đất ở trên địa bàn tỉnh Bạc Liêu”</w:t>
      </w:r>
      <w:r>
        <w:rPr>
          <w:rFonts w:ascii="Arial" w:hAnsi="Arial" w:cs="Arial"/>
          <w:color w:val="000000"/>
          <w:sz w:val="21"/>
          <w:szCs w:val="21"/>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9E6075" w14:paraId="3691EFF3" w14:textId="77777777" w:rsidTr="009E607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527C" w14:textId="77777777" w:rsidR="009E6075" w:rsidRDefault="009E6075" w:rsidP="009E607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Bộ Tài nguyên và Môi trường </w:t>
            </w:r>
            <w:r>
              <w:rPr>
                <w:rStyle w:val="Emphasis"/>
                <w:rFonts w:ascii="Arial" w:hAnsi="Arial" w:cs="Arial"/>
                <w:color w:val="000000"/>
                <w:sz w:val="21"/>
                <w:szCs w:val="21"/>
              </w:rPr>
              <w:t>(b/c)</w:t>
            </w:r>
            <w:r>
              <w:rPr>
                <w:rFonts w:ascii="Arial" w:hAnsi="Arial" w:cs="Arial"/>
                <w:color w:val="000000"/>
                <w:sz w:val="21"/>
                <w:szCs w:val="21"/>
              </w:rPr>
              <w:t>;</w:t>
            </w:r>
            <w:r>
              <w:rPr>
                <w:rFonts w:ascii="Arial" w:hAnsi="Arial" w:cs="Arial"/>
                <w:color w:val="000000"/>
                <w:sz w:val="21"/>
                <w:szCs w:val="21"/>
              </w:rPr>
              <w:br/>
              <w:t>- TT Tỉnh ủy TT HĐND tỉnh </w:t>
            </w:r>
            <w:r>
              <w:rPr>
                <w:rStyle w:val="Emphasis"/>
                <w:rFonts w:ascii="Arial" w:hAnsi="Arial" w:cs="Arial"/>
                <w:color w:val="000000"/>
                <w:sz w:val="21"/>
                <w:szCs w:val="21"/>
              </w:rPr>
              <w:t>(b/c)</w:t>
            </w:r>
            <w:r>
              <w:rPr>
                <w:rFonts w:ascii="Arial" w:hAnsi="Arial" w:cs="Arial"/>
                <w:color w:val="000000"/>
                <w:sz w:val="21"/>
                <w:szCs w:val="21"/>
              </w:rPr>
              <w:t>;</w:t>
            </w:r>
            <w:r>
              <w:rPr>
                <w:rFonts w:ascii="Arial" w:hAnsi="Arial" w:cs="Arial"/>
                <w:color w:val="000000"/>
                <w:sz w:val="21"/>
                <w:szCs w:val="21"/>
              </w:rPr>
              <w:br/>
              <w:t>- Đoàn Đại biểu quốc hội </w:t>
            </w:r>
            <w:r>
              <w:rPr>
                <w:rStyle w:val="Emphasis"/>
                <w:rFonts w:ascii="Arial" w:hAnsi="Arial" w:cs="Arial"/>
                <w:color w:val="000000"/>
                <w:sz w:val="21"/>
                <w:szCs w:val="21"/>
              </w:rPr>
              <w:t>(b/c)</w:t>
            </w:r>
            <w:r>
              <w:rPr>
                <w:rFonts w:ascii="Arial" w:hAnsi="Arial" w:cs="Arial"/>
                <w:color w:val="000000"/>
                <w:sz w:val="21"/>
                <w:szCs w:val="21"/>
              </w:rPr>
              <w:t>;</w:t>
            </w:r>
            <w:r>
              <w:rPr>
                <w:rFonts w:ascii="Arial" w:hAnsi="Arial" w:cs="Arial"/>
                <w:color w:val="000000"/>
                <w:sz w:val="21"/>
                <w:szCs w:val="21"/>
              </w:rPr>
              <w:br/>
              <w:t>- Cục kiểm tra VB QPPL-BTP </w:t>
            </w:r>
            <w:r>
              <w:rPr>
                <w:rStyle w:val="Emphasis"/>
                <w:rFonts w:ascii="Arial" w:hAnsi="Arial" w:cs="Arial"/>
                <w:color w:val="000000"/>
                <w:sz w:val="21"/>
                <w:szCs w:val="21"/>
              </w:rPr>
              <w:t>(b/c)</w:t>
            </w:r>
            <w:r>
              <w:rPr>
                <w:rFonts w:ascii="Arial" w:hAnsi="Arial" w:cs="Arial"/>
                <w:color w:val="000000"/>
                <w:sz w:val="21"/>
                <w:szCs w:val="21"/>
              </w:rPr>
              <w:t>;</w:t>
            </w:r>
            <w:r>
              <w:rPr>
                <w:rFonts w:ascii="Arial" w:hAnsi="Arial" w:cs="Arial"/>
                <w:color w:val="000000"/>
                <w:sz w:val="21"/>
                <w:szCs w:val="21"/>
              </w:rPr>
              <w:br/>
              <w:t>- CT, các PCT UBND tỉnh;</w:t>
            </w:r>
            <w:r>
              <w:rPr>
                <w:rFonts w:ascii="Arial" w:hAnsi="Arial" w:cs="Arial"/>
                <w:color w:val="000000"/>
                <w:sz w:val="21"/>
                <w:szCs w:val="21"/>
              </w:rPr>
              <w:br/>
              <w:t>- Sở Tư pháp (tự kiểm tra);</w:t>
            </w:r>
            <w:r>
              <w:rPr>
                <w:rFonts w:ascii="Arial" w:hAnsi="Arial" w:cs="Arial"/>
                <w:color w:val="000000"/>
                <w:sz w:val="21"/>
                <w:szCs w:val="21"/>
              </w:rPr>
              <w:br/>
              <w:t>- PVP (T. Tài) UBND tỉnh;</w:t>
            </w:r>
            <w:r>
              <w:rPr>
                <w:rFonts w:ascii="Arial" w:hAnsi="Arial" w:cs="Arial"/>
                <w:color w:val="000000"/>
                <w:sz w:val="21"/>
                <w:szCs w:val="21"/>
              </w:rPr>
              <w:br/>
              <w:t>- Trung tâm Công báo - Tin học;</w:t>
            </w:r>
            <w:r>
              <w:rPr>
                <w:rFonts w:ascii="Arial" w:hAnsi="Arial" w:cs="Arial"/>
                <w:color w:val="000000"/>
                <w:sz w:val="21"/>
                <w:szCs w:val="21"/>
              </w:rPr>
              <w:br/>
              <w:t>- Lưu: VT, CH, MT (QĐ 22).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337D5" w14:textId="77777777" w:rsidR="009E6075" w:rsidRDefault="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Lê Minh Chiến</w:t>
            </w:r>
          </w:p>
        </w:tc>
      </w:tr>
    </w:tbl>
    <w:p w14:paraId="17AF03A3" w14:textId="77777777" w:rsidR="009E6075" w:rsidRDefault="009E6075" w:rsidP="009E6075">
      <w:pPr>
        <w:pStyle w:val="NormalWeb"/>
        <w:spacing w:after="90" w:afterAutospacing="0" w:line="345" w:lineRule="atLeast"/>
        <w:jc w:val="both"/>
        <w:rPr>
          <w:rFonts w:ascii="Arial" w:hAnsi="Arial" w:cs="Arial"/>
          <w:color w:val="000000"/>
          <w:sz w:val="21"/>
          <w:szCs w:val="21"/>
        </w:rPr>
      </w:pPr>
    </w:p>
    <w:p w14:paraId="302B4D32"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083D4DDC"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DIỆN TÍCH TỐI THIỂU ĐƯỢC PHÉP TÁCH THỬA ĐẤT MỚI VÀ THỬA ĐẤT CÒN LẠI SAU KHI TÁCH THỬA TRÊN ĐỊA BÀN TỈNH BẠC LIÊU</w:t>
      </w:r>
      <w:r>
        <w:rPr>
          <w:rFonts w:ascii="Arial" w:hAnsi="Arial" w:cs="Arial"/>
          <w:color w:val="000000"/>
          <w:sz w:val="21"/>
          <w:szCs w:val="21"/>
        </w:rPr>
        <w:br/>
      </w:r>
      <w:r>
        <w:rPr>
          <w:rStyle w:val="Emphasis"/>
          <w:rFonts w:ascii="Arial" w:hAnsi="Arial" w:cs="Arial"/>
          <w:color w:val="000000"/>
          <w:sz w:val="21"/>
          <w:szCs w:val="21"/>
        </w:rPr>
        <w:t>(Ban hành kèm theo Quyết định số 26/2018/QĐ-UBND ngày 05 tháng 11 năm 2018 của Ủy ban nhân dân tỉnh Bạc Liêu)</w:t>
      </w:r>
    </w:p>
    <w:p w14:paraId="32E0AA78"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FF88440"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BF6701B"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837822B"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diện tích tối thiểu được phép tách thửa đất mới và thửa đất còn lại sau khi tách thửa trên địa bàn tỉnh Bạc Liêu.</w:t>
      </w:r>
    </w:p>
    <w:p w14:paraId="74897499"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này không áp dụng trong các trường hợp sau:</w:t>
      </w:r>
    </w:p>
    <w:p w14:paraId="584B0EA3"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Tách thửa do Nhà nước thu hồi một phần thửa đất.</w:t>
      </w:r>
    </w:p>
    <w:p w14:paraId="527D6332"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Tặng cho quyền sử dụng đất cho Nhà nước; tặng cho quyền sử dụng đất cho cộng đồng dân cư để xây dựng các công trình phục vụ lợi ích chung của cộng đồng; tặng cho nhà tình thương, tình nghĩa gắn liền với đất.</w:t>
      </w:r>
    </w:p>
    <w:p w14:paraId="2F536928"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Thửa đất đang sử dụng được hình thành không thuộc trường hợp tách thửa trước Quy định này.</w:t>
      </w:r>
    </w:p>
    <w:p w14:paraId="2DF5DDE7"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hồ sơ đăng ký biến động có tách thửa đã được công chứng, chứng thực đúng quy định pháp luật hoặc hồ sơ lập hoàn chỉnh, hợp lệ và nộp tại cơ quan tiếp nhận trước Quy định này.</w:t>
      </w:r>
    </w:p>
    <w:p w14:paraId="4C4EAD80"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thực hiện quyết định giải quyết tranh chấp, khiếu nại về đất đai có hiệu lực pháp lực; bản án hoặc quyết định của Tòa án nhân dân đã có hiệu lực pháp luật; quyết định thi hành án của cơ quan thi hành án; xử lý nợ theo hợp đồng thế chấp; văn bản về kết quả hòa giải thành về tranh chấp đất đai được Ủy ban nhân dân cấp có thẩm quyền công nhận.</w:t>
      </w:r>
    </w:p>
    <w:p w14:paraId="0162E564"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Thửa đất do tổ chức hoặc cá nhân thỏa thuận bồi thường hoặc nhận chuyển nhượng đất để thực hiện dự án đầu tư đã được cơ quan có thẩm quyền phê duyệt.</w:t>
      </w:r>
    </w:p>
    <w:p w14:paraId="4A06D14B"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Bán nhà thuộc sở hữu nhà nước theo Nghị định số </w:t>
      </w:r>
      <w:hyperlink r:id="rId15" w:history="1">
        <w:r>
          <w:rPr>
            <w:rStyle w:val="Hyperlink"/>
            <w:rFonts w:ascii="Arial" w:hAnsi="Arial" w:cs="Arial"/>
            <w:color w:val="135ECD"/>
            <w:sz w:val="21"/>
            <w:szCs w:val="21"/>
          </w:rPr>
          <w:t>99/2015/NĐ-CP</w:t>
        </w:r>
      </w:hyperlink>
      <w:r>
        <w:rPr>
          <w:rFonts w:ascii="Arial" w:hAnsi="Arial" w:cs="Arial"/>
          <w:color w:val="000000"/>
          <w:sz w:val="21"/>
          <w:szCs w:val="21"/>
        </w:rPr>
        <w:t> ngày 20/10/2015 của Chính phủ về quản lý sử dụng nhà ở thuộc sở hữu nhà nước.</w:t>
      </w:r>
    </w:p>
    <w:p w14:paraId="02980B49"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trường hợp phân chia tài sản thừa kế, ly hôn theo quy định.</w:t>
      </w:r>
    </w:p>
    <w:p w14:paraId="1DF590B7"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thửa đất do nhà nước tách thửa để giao đất, cho thuê đất và chuyển mục đích sử dụng đất theo dự án hoặc được cơ quan nhà nước có thẩm quyền chấp thuận đầu tư.</w:t>
      </w:r>
    </w:p>
    <w:p w14:paraId="70BD81DD"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12BF3C5"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thực hiện chức năng quản lý nhà nước về đất đai.</w:t>
      </w:r>
    </w:p>
    <w:p w14:paraId="7E33A966"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quy định tại Điều 5 của Luật Đất đai năm 2013.</w:t>
      </w:r>
    </w:p>
    <w:p w14:paraId="1EF6B048"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8D5884E"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32DB037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diện tích đất phi nông nghiệp được phép tách thửa đất mới và thửa đất còn lại sau khi tách thửa</w:t>
      </w:r>
    </w:p>
    <w:p w14:paraId="17217C4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w:t>
      </w:r>
    </w:p>
    <w:p w14:paraId="7AAA37B0"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Khu vực phường, thị trấn:</w:t>
      </w:r>
    </w:p>
    <w:p w14:paraId="6F275119"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nhà ở liên kế hiện có cải tạo:</w:t>
      </w:r>
    </w:p>
    <w:p w14:paraId="525F1727"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thửa đất là bộ phận cấu thành của cả dãy phố, diện tích tối thiểu tách thửa đất mới và thửa đất còn lại sau khi tách thửa không nhỏ hơn 25 m</w:t>
      </w:r>
      <w:r>
        <w:rPr>
          <w:rFonts w:ascii="Arial" w:hAnsi="Arial" w:cs="Arial"/>
          <w:color w:val="000000"/>
          <w:sz w:val="21"/>
          <w:szCs w:val="21"/>
          <w:vertAlign w:val="superscript"/>
        </w:rPr>
        <w:t>2</w:t>
      </w:r>
      <w:r>
        <w:rPr>
          <w:rFonts w:ascii="Arial" w:hAnsi="Arial" w:cs="Arial"/>
          <w:color w:val="000000"/>
          <w:sz w:val="21"/>
          <w:szCs w:val="21"/>
        </w:rPr>
        <w:t>, với chiều sâu và bề rộng thửa đất được tính từ chỉ giới xây dựng bằng hoặc lớn hơn 2,5 m.</w:t>
      </w:r>
    </w:p>
    <w:p w14:paraId="250822BD"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thửa đất đơn lẻ, diện tích tối thiểu tách thửa đất mới và thửa đất còn lại sau khi tách thửa không nhỏ hơn 50 m</w:t>
      </w:r>
      <w:r>
        <w:rPr>
          <w:rFonts w:ascii="Arial" w:hAnsi="Arial" w:cs="Arial"/>
          <w:color w:val="000000"/>
          <w:sz w:val="21"/>
          <w:szCs w:val="21"/>
          <w:vertAlign w:val="superscript"/>
        </w:rPr>
        <w:t>2</w:t>
      </w:r>
      <w:r>
        <w:rPr>
          <w:rFonts w:ascii="Arial" w:hAnsi="Arial" w:cs="Arial"/>
          <w:color w:val="000000"/>
          <w:sz w:val="21"/>
          <w:szCs w:val="21"/>
        </w:rPr>
        <w:t>, với chiều sâu và bề rộng thửa đất, được tính từ chỉ giới xây dựng bằng hoặc lớn hơn 05 m.</w:t>
      </w:r>
    </w:p>
    <w:p w14:paraId="442971E5"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thửa đất không thuộc quy định tại Điểm a, Khoản 1 Điều này:</w:t>
      </w:r>
    </w:p>
    <w:p w14:paraId="050331BE"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tiếp giáp với lộ giới nhỏ hơn 20 m, diện tích tối thiểu tách thửa đất mới và thửa đất còn lại sau khi tách thửa không nhỏ hơn 36 m</w:t>
      </w:r>
      <w:r>
        <w:rPr>
          <w:rFonts w:ascii="Arial" w:hAnsi="Arial" w:cs="Arial"/>
          <w:color w:val="000000"/>
          <w:sz w:val="21"/>
          <w:szCs w:val="21"/>
          <w:vertAlign w:val="superscript"/>
        </w:rPr>
        <w:t>2</w:t>
      </w:r>
      <w:r>
        <w:rPr>
          <w:rFonts w:ascii="Arial" w:hAnsi="Arial" w:cs="Arial"/>
          <w:color w:val="000000"/>
          <w:sz w:val="21"/>
          <w:szCs w:val="21"/>
        </w:rPr>
        <w:t>, với chiều sâu và bề rộng thửa đất được tính từ chỉ giới xây dựng bằng hoặc lớn hơn 04 m.</w:t>
      </w:r>
    </w:p>
    <w:p w14:paraId="6697E770"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tiếp giáp lộ giới bằng hoặc lớn hơn 20 m, diện tích tối thiểu tách thửa đất mới và thửa đất còn lại sau khi tách thửa không nhỏ hơn 45 m</w:t>
      </w:r>
      <w:r>
        <w:rPr>
          <w:rFonts w:ascii="Arial" w:hAnsi="Arial" w:cs="Arial"/>
          <w:color w:val="000000"/>
          <w:sz w:val="21"/>
          <w:szCs w:val="21"/>
          <w:vertAlign w:val="superscript"/>
        </w:rPr>
        <w:t>2</w:t>
      </w:r>
      <w:r>
        <w:rPr>
          <w:rFonts w:ascii="Arial" w:hAnsi="Arial" w:cs="Arial"/>
          <w:color w:val="000000"/>
          <w:sz w:val="21"/>
          <w:szCs w:val="21"/>
        </w:rPr>
        <w:t>, với chiều sâu và bề rộng thửa đất được tính từ chỉ giới xây dựng bằng hoặc lớn hơn 05 m.</w:t>
      </w:r>
    </w:p>
    <w:p w14:paraId="6C96B456"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Khu vực xã: </w:t>
      </w:r>
      <w:r>
        <w:rPr>
          <w:rFonts w:ascii="Arial" w:hAnsi="Arial" w:cs="Arial"/>
          <w:color w:val="000000"/>
          <w:sz w:val="21"/>
          <w:szCs w:val="21"/>
        </w:rPr>
        <w:t>Diện tích tối thiểu tách thửa đất mới và thửa đất còn lại sau khi tách thửa không nhỏ hơn 60 m, với chiều sâu và bề rộng thửa đất được tính từ chỉ giới xây dựng hoặc hành lang lộ giới bằng hoặc lớn hơn 04 m.</w:t>
      </w:r>
    </w:p>
    <w:p w14:paraId="6C9142B9"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Diện tích tối thiểu tách thửa quy định tại Điểm a và b, Khoản 1 Điều này, không tính diện tích đất hành lang bảo vệ an toàn công trình.</w:t>
      </w:r>
    </w:p>
    <w:p w14:paraId="1BB99A3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phi nông nghiệp không phải là đất ở: Diện tích tối thiểu được tách thửa theo văn bản chấp thuận chủ trương đầu tư hoặc theo dự án đầu tư hoặc nhu cầu khi được cơ quan nhà nước có thẩm quyền phê duyệt nhưng không nhỏ hơn diện tích tối thiểu tách thửa đất theo quy định tại Khoản 1 Điều này.</w:t>
      </w:r>
    </w:p>
    <w:p w14:paraId="3A5EC058"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diện tích đất nông nghiệp được phép tách thửa đất mới và thửa đất còn lại sau khi tách thửa</w:t>
      </w:r>
    </w:p>
    <w:p w14:paraId="6005D3E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trồng cây lâu năm và trồng cây hàng năm khác: Diện tích tối thiểu được phép tách thửa đất mới và thửa đất còn lại sau khi tách thửa không nhỏ hơn 150 m</w:t>
      </w:r>
      <w:r>
        <w:rPr>
          <w:rFonts w:ascii="Arial" w:hAnsi="Arial" w:cs="Arial"/>
          <w:color w:val="000000"/>
          <w:sz w:val="21"/>
          <w:szCs w:val="21"/>
          <w:vertAlign w:val="superscript"/>
        </w:rPr>
        <w:t>2</w:t>
      </w:r>
      <w:r>
        <w:rPr>
          <w:rFonts w:ascii="Arial" w:hAnsi="Arial" w:cs="Arial"/>
          <w:color w:val="000000"/>
          <w:sz w:val="21"/>
          <w:szCs w:val="21"/>
        </w:rPr>
        <w:t>, bề rộng bằng hoặc lớn hơn 06 m</w:t>
      </w:r>
    </w:p>
    <w:p w14:paraId="5A9FEA69"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Đất trồng lúa, làm muối, nuôi trồng thủy sản: Diện tích tối thiểu được phép tách thửa đất mới và thửa đất còn lại sau khi tách thửa không nhỏ hơn 250 m</w:t>
      </w:r>
      <w:r>
        <w:rPr>
          <w:rFonts w:ascii="Arial" w:hAnsi="Arial" w:cs="Arial"/>
          <w:color w:val="000000"/>
          <w:sz w:val="21"/>
          <w:szCs w:val="21"/>
          <w:vertAlign w:val="superscript"/>
        </w:rPr>
        <w:t>2</w:t>
      </w:r>
      <w:r>
        <w:rPr>
          <w:rFonts w:ascii="Arial" w:hAnsi="Arial" w:cs="Arial"/>
          <w:color w:val="000000"/>
          <w:sz w:val="21"/>
          <w:szCs w:val="21"/>
        </w:rPr>
        <w:t>, bề rộng bằng hoặc lớn hơn 07 m.</w:t>
      </w:r>
    </w:p>
    <w:p w14:paraId="43F0AAA4"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định diện tích tối thiểu tách thửa đất mới và thửa đất còn lại sau khi tách thửa đối với trường hợp thửa đất có đất trồng cây lâu năm và hàng năm khác trong cùng thửa đất ở</w:t>
      </w:r>
    </w:p>
    <w:p w14:paraId="02CF3005"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tách đất trồng cây lâu năm, hàng năm khác đồng thời chuyển mục đích sang đất ở thì phải đảm bảo theo quy định tại Khoản 1, Điều 3 của Quy định này.</w:t>
      </w:r>
    </w:p>
    <w:p w14:paraId="6171EC82"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một phần đất ở và đất trồng cây lâu năm, hàng năm khác trong cùng thửa đất: Diện tích đất ở được tách ra và đất ở còn lại phải đảm bảo theo quy định tại Khoản 1, Điều 3 Quy định này; diện tích trồng cây lâu năm, hàng năm khác tách theo đất ở không áp dụng diện tích tối thiểu.</w:t>
      </w:r>
    </w:p>
    <w:p w14:paraId="6A8B1603"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tách hết đất ở thì diện tích đất trồng cây lâu năm và trồng cây hàng năm khác còn lại sau khi tách thửa phải đảm bảo theo quy định tại Khoản 1, Điều 4 Quy định này.</w:t>
      </w:r>
    </w:p>
    <w:p w14:paraId="74D85950"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trường hợp không được phép tách thửa</w:t>
      </w:r>
    </w:p>
    <w:p w14:paraId="2AE7454E"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thuộc dự án nhà ở, khu dân cư, tái định cư và khu đô thị mới đã thực hiện theo quy hoạch do cơ quan có thẩm quyền phê duyệt.</w:t>
      </w:r>
    </w:p>
    <w:p w14:paraId="055A82E7"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thửa đất thuộc khu vực đã có thông báo thu hồi đất của cơ quan Nhà nước có thẩm quyền.</w:t>
      </w:r>
    </w:p>
    <w:p w14:paraId="7C5C88EB"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phân lô khi chưa có chủ trương chấp thuận của cơ quan có thẩm quyền.</w:t>
      </w:r>
    </w:p>
    <w:p w14:paraId="04FD97A3"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mục đích đất nông nghiệp xây dựng nhà ở, công trình trên đất khi chưa được cơ quan có thẩm quyền cho phép theo quy định.</w:t>
      </w:r>
    </w:p>
    <w:p w14:paraId="0FAEE9D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Trường hợp tách thửa có diện tích nhỏ hơn diện tích tối thiểu theo Quy định này mà đồng thời với việc xin hợp thửa đất liền kề</w:t>
      </w:r>
    </w:p>
    <w:p w14:paraId="444E65C1"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tách thửa có diện tích nhỏ hơn diện tích tối thiểu theo Quy định này mà đồng thời với việc xin hợp thửa đất liền kề có cùng mục đích sử dụng để tạo thành thửa đất mới có diện tích bằng hoặc lớn hơn diện tích tối thiểu tại quy định này thì được phép tách và đồng thời hợp thửa với thửa đất liền kề.</w:t>
      </w:r>
    </w:p>
    <w:p w14:paraId="0EA265DF"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Xử lý trường hợp đặc biệt tách thửa và thửa đất còn lại sau khi tách thửa</w:t>
      </w:r>
    </w:p>
    <w:p w14:paraId="072ADDCD"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bề rộng thửa đất xin tách thửa không đảm bảo theo Quy định này, nhưng tổng diện tích tối thiểu xin tách thửa đảm bảo theo Quy định này </w:t>
      </w:r>
      <w:r>
        <w:rPr>
          <w:rStyle w:val="Emphasis"/>
          <w:rFonts w:ascii="Arial" w:hAnsi="Arial" w:cs="Arial"/>
          <w:color w:val="000000"/>
          <w:sz w:val="21"/>
          <w:szCs w:val="21"/>
        </w:rPr>
        <w:t xml:space="preserve">(ví dụ: Thửa đất nằm phía trong mà có nhu </w:t>
      </w:r>
      <w:r>
        <w:rPr>
          <w:rStyle w:val="Emphasis"/>
          <w:rFonts w:ascii="Arial" w:hAnsi="Arial" w:cs="Arial"/>
          <w:color w:val="000000"/>
          <w:sz w:val="21"/>
          <w:szCs w:val="21"/>
        </w:rPr>
        <w:lastRenderedPageBreak/>
        <w:t>cầu nhận chuyển quyền sử dụng đất làm lối, đường mương dẫn nước, thoát nước, dẫn điện... gắn liền với thửa đất có diện tích đảm bảo theo quy định này)</w:t>
      </w:r>
      <w:r>
        <w:rPr>
          <w:rFonts w:ascii="Arial" w:hAnsi="Arial" w:cs="Arial"/>
          <w:color w:val="000000"/>
          <w:sz w:val="21"/>
          <w:szCs w:val="21"/>
        </w:rPr>
        <w:t> thì cơ quan có thẩm quyền xem xét, giải quyết từng trường hợp cụ thể khi có văn bản xác nhận của Ủy ban nhân dân xã, phường, thị trấn nơi có đất, nhưng chỉ xem xét giải quyết một lần.</w:t>
      </w:r>
    </w:p>
    <w:p w14:paraId="128BC762"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76CC023" w14:textId="77777777" w:rsidR="009E6075" w:rsidRDefault="009E6075" w:rsidP="009E6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213C7C5"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cơ quan Nhà nước</w:t>
      </w:r>
    </w:p>
    <w:p w14:paraId="0BE3AE3B"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Sở Tài nguyên và Môi trường chịu trách nhiệm phối hợp với các Sở, Ngành, đơn vị chức năng có liên quan và Ủy ban nhân dân các huyện, thị xã, thành phố tổ chức triển khai thực hiện Quy định này.</w:t>
      </w:r>
    </w:p>
    <w:p w14:paraId="389FC2DC" w14:textId="77777777" w:rsidR="009E6075" w:rsidRDefault="009E6075" w:rsidP="009E6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khó khăn, vướng mắc thì các tổ chức, cá nhân có liên quan kịp thời phản ánh về Sở Tài nguyên và Môi trường để được hướng dẫn, trường hợp vượt thẩm quyền thì tổng hợp, báo cáo theo đúng quy định của pháp luật, trình Ủy ban nhân dân tỉnh xem xét, quyết định.</w:t>
      </w:r>
    </w:p>
    <w:p w14:paraId="6FF7EEF2" w14:textId="2820145F" w:rsidR="006263BE" w:rsidRPr="009E6075" w:rsidRDefault="006263BE" w:rsidP="009E6075"/>
    <w:sectPr w:rsidR="006263BE" w:rsidRPr="009E6075" w:rsidSect="00EF16BB">
      <w:headerReference w:type="even" r:id="rId16"/>
      <w:headerReference w:type="default" r:id="rId17"/>
      <w:footerReference w:type="even" r:id="rId18"/>
      <w:footerReference w:type="default" r:id="rId19"/>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9833F" w14:textId="77777777" w:rsidR="001C5528" w:rsidRDefault="001C5528">
      <w:r>
        <w:separator/>
      </w:r>
    </w:p>
  </w:endnote>
  <w:endnote w:type="continuationSeparator" w:id="0">
    <w:p w14:paraId="74ACF52C" w14:textId="77777777" w:rsidR="001C5528" w:rsidRDefault="001C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3D10F" w14:textId="77777777" w:rsidR="001C5528" w:rsidRDefault="001C5528">
      <w:r>
        <w:separator/>
      </w:r>
    </w:p>
  </w:footnote>
  <w:footnote w:type="continuationSeparator" w:id="0">
    <w:p w14:paraId="46F96E8D" w14:textId="77777777" w:rsidR="001C5528" w:rsidRDefault="001C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C552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745A"/>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28F9"/>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13.aspx" TargetMode="External"/><Relationship Id="rId13" Type="http://schemas.openxmlformats.org/officeDocument/2006/relationships/hyperlink" Target="https://admin.luatminhkhue.vn/van-ban/nghi-dinh-01-2017-nd-cp-quy-dinh-chi-tiet-thi-hanh-luat-dat-dai.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99-2015-nd-cp-huong-dan-luat-nha-o.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43-2014-nd-cp.aspx" TargetMode="External"/><Relationship Id="rId5" Type="http://schemas.openxmlformats.org/officeDocument/2006/relationships/footnotes" Target="footnotes.xml"/><Relationship Id="rId15" Type="http://schemas.openxmlformats.org/officeDocument/2006/relationships/hyperlink" Target="https://admin.luatminhkhue.vn/van-ban/nghi-dinh-99-2015-nd-cp-huong-dan-luat-nha-o.aspx" TargetMode="External"/><Relationship Id="rId10" Type="http://schemas.openxmlformats.org/officeDocument/2006/relationships/hyperlink" Target="https://admin.luatminhkhue.vn/van-ban/luat-nha-o-nam-2014.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dmin.luatminhkhue.vn/van-ban/luat-xay-dung-nam-2014.aspx" TargetMode="External"/><Relationship Id="rId14" Type="http://schemas.openxmlformats.org/officeDocument/2006/relationships/hyperlink" Target="https://admin.luatminhkhue.vn/van-ban/quyet-dinh-04-2015-qd-ubnd-quy-dinh-dien-tich-toi-thieu-dat-o--dat-nong-nghiep-gan-lien-voi-dat-o-duoc-tach-thua-va-chuyen-muc-dich-sang-dat-o-tren-dia-ban-tinh-bac-lie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6</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409</cp:revision>
  <dcterms:created xsi:type="dcterms:W3CDTF">2024-12-02T03:13:00Z</dcterms:created>
  <dcterms:modified xsi:type="dcterms:W3CDTF">2025-01-21T05:33:00Z</dcterms:modified>
</cp:coreProperties>
</file>