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03D07" w14:paraId="43BAD694" w14:textId="77777777" w:rsidTr="00703D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2962D" w14:textId="77777777" w:rsidR="00703D07" w:rsidRDefault="00703D0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BẠC LIÊU</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809BF" w14:textId="77777777" w:rsidR="00703D07" w:rsidRDefault="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03D07" w14:paraId="3F2014C8" w14:textId="77777777" w:rsidTr="00703D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6BEB5" w14:textId="77777777" w:rsidR="00703D07" w:rsidRDefault="00703D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41/2024/QĐ-UBND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F28E0" w14:textId="77777777" w:rsidR="00703D07" w:rsidRDefault="00703D0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Bạc Liêu, ngày 14 tháng 10 năm 2024</w:t>
            </w:r>
          </w:p>
        </w:tc>
      </w:tr>
    </w:tbl>
    <w:p w14:paraId="4CCA1CCA"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0BF4CF3"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ĐIỀU KIỆN, DIỆN TÍCH TỐI THIỂU CỦA VIỆC TÁCH THỬA ĐẤT, HỢP THỬA ĐẤT ĐỐI VỚI TỪNG LOẠI ĐẤT TRÊN ĐỊA BÀN TỈNH BẠC LIÊU</w:t>
      </w:r>
    </w:p>
    <w:p w14:paraId="45F7B868"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BẠC LIÊU</w:t>
      </w:r>
    </w:p>
    <w:p w14:paraId="4B6A351D"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w:t>
      </w:r>
    </w:p>
    <w:p w14:paraId="44847BD7"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298FCCEF"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18 tháng 01 năm 2024;</w:t>
      </w:r>
    </w:p>
    <w:p w14:paraId="0CB5C0E6"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và Luật Các tổ chức tín dụng số 32/2024/QH15 ngày 29 tháng 6 năm 2014</w:t>
        </w:r>
      </w:hyperlink>
      <w:r>
        <w:rPr>
          <w:rStyle w:val="Emphasis"/>
          <w:rFonts w:ascii="Arial" w:hAnsi="Arial" w:cs="Arial"/>
          <w:color w:val="000000"/>
          <w:sz w:val="21"/>
          <w:szCs w:val="21"/>
        </w:rPr>
        <w:t>;</w:t>
      </w:r>
    </w:p>
    <w:p w14:paraId="33B5E364"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tgtFrame="_blank" w:history="1">
        <w:r>
          <w:rPr>
            <w:rStyle w:val="Hyperlink"/>
            <w:rFonts w:ascii="Arial" w:hAnsi="Arial" w:cs="Arial"/>
            <w:i/>
            <w:iCs/>
            <w:color w:val="135ECD"/>
            <w:sz w:val="21"/>
            <w:szCs w:val="21"/>
          </w:rPr>
          <w:t>101/2024/NĐ-CP</w:t>
        </w:r>
      </w:hyperlink>
      <w:r>
        <w:rPr>
          <w:rStyle w:val="Emphasis"/>
          <w:rFonts w:ascii="Arial" w:hAnsi="Arial" w:cs="Arial"/>
          <w:color w:val="000000"/>
          <w:sz w:val="21"/>
          <w:szCs w:val="21"/>
        </w:rPr>
        <w:t> ngày 29 tháng 7 năm 2024 của Chính phủ quy định điều tra cơ bản đất đai; đăng ký, cấp Giấy chứng nhận quyền sử dụng đất, quyền sở hữu tài sản gắn liền với đất và Hệ thống thông tin đất đai;</w:t>
      </w:r>
    </w:p>
    <w:p w14:paraId="63E130C4"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tgtFrame="_blank" w:history="1">
        <w:r>
          <w:rPr>
            <w:rStyle w:val="Hyperlink"/>
            <w:rFonts w:ascii="Arial" w:hAnsi="Arial" w:cs="Arial"/>
            <w:i/>
            <w:iCs/>
            <w:color w:val="135ECD"/>
            <w:sz w:val="21"/>
            <w:szCs w:val="21"/>
          </w:rPr>
          <w:t>102/2024/NĐ-CP</w:t>
        </w:r>
      </w:hyperlink>
      <w:r>
        <w:rPr>
          <w:rStyle w:val="Emphasis"/>
          <w:rFonts w:ascii="Arial" w:hAnsi="Arial" w:cs="Arial"/>
          <w:color w:val="000000"/>
          <w:sz w:val="21"/>
          <w:szCs w:val="21"/>
        </w:rPr>
        <w:t> ngày 30 tháng 7 năm 2024 của Chính phủ quy định chi tiết thi hành một số điều Luật Đất đai;</w:t>
      </w:r>
    </w:p>
    <w:p w14:paraId="5118CD4F"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261/TTr-STNMT ngày 12 tháng 10 năm 2024.</w:t>
      </w:r>
    </w:p>
    <w:p w14:paraId="3F891E13"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A539898"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Ban hành kèm theo Quyết định này Quy định điều kiện, diện tích tối thiểu của việc tách thửa đất, hợp thửa đất đối với từng loại đất trên đ ịa bàn tỉnh Bạc Liêu.</w:t>
      </w:r>
    </w:p>
    <w:p w14:paraId="4411C2F4"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Tổ chức thực hiện</w:t>
      </w:r>
    </w:p>
    <w:p w14:paraId="7870EC45"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Giao Giám đốc Sở Tài nguyên và Môi trường chủ trì, phối hợp với Giám đốc, Thủ trưởng các Sở, Ban, Ngành, đơn vị có liên quan và Ủy ban nhân dân các huyện, thị xã, thành phố tổ chức triển khai thực hiện Quyết định này.</w:t>
      </w:r>
    </w:p>
    <w:p w14:paraId="1F2506E8"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Văn phòng Ủy ban nhân dân tỉnh; Giám đốc Sở Tài nguyên và Môi trường; Giám đốc, Thủ trưởng các Sở, Ban, Ngành cấp tỉnh; Chủ tịch Ủy ban nhân dân các huyện, thị xã, thành phố và các cơ quan, đơn vị, tổ chức, cá nhân có liên quan chịu trách nhiệm thi hành Quyết định này.</w:t>
      </w:r>
    </w:p>
    <w:p w14:paraId="6A86C539"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Hiệu lực thi hành</w:t>
      </w:r>
    </w:p>
    <w:p w14:paraId="4F491ED5"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có hiệu lực thi hành từ ngày 24 tháng 10 năm 2024 và thay thế Quyết định số </w:t>
      </w:r>
      <w:hyperlink r:id="rId13" w:tgtFrame="_blank" w:history="1">
        <w:r>
          <w:rPr>
            <w:rStyle w:val="Hyperlink"/>
            <w:rFonts w:ascii="Arial" w:hAnsi="Arial" w:cs="Arial"/>
            <w:color w:val="135ECD"/>
            <w:sz w:val="21"/>
            <w:szCs w:val="21"/>
          </w:rPr>
          <w:t>30/2021/QĐ-UBND</w:t>
        </w:r>
      </w:hyperlink>
      <w:r>
        <w:rPr>
          <w:rFonts w:ascii="Arial" w:hAnsi="Arial" w:cs="Arial"/>
          <w:color w:val="000000"/>
          <w:sz w:val="21"/>
          <w:szCs w:val="21"/>
        </w:rPr>
        <w:t> ngày 01 tháng 10 năm 2021 của Ủy ban nhân dân tỉnh ban hành Quy định điều kiện tách thửa đất, điều kiện hợp thửa đất đối với từng loại đất và diện tích tối thiểu được tách thửa đối với từng loại đất trên địa bàn tỉnh Bạc Liêu; Quyết định số 41/2022/QĐ-UBND ngày 12 tháng 12 năm 2022 của Ủy ban nhân dân tỉnh sửa đổi bổ sung một số điều của Quy định điều kiện tách thửa đất, điều kiện hợp thửa đất đối với từng loại đất và diện tích tối thiểu được tách thửa đối với từng loại đất trên địa bàn tỉnh Bạc Liêu ban hành kèm theo Quyết định số 30/2021/QĐ-UBND ngày 01 tháng 10 năm 2021 của Ủy ban nhân dân tỉnh./.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03D07" w14:paraId="115FA651" w14:textId="77777777" w:rsidTr="00703D07">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0A646" w14:textId="77777777" w:rsidR="00703D07" w:rsidRDefault="00703D07">
            <w:pPr>
              <w:pStyle w:val="NormalWeb"/>
              <w:spacing w:after="90" w:afterAutospacing="0" w:line="345" w:lineRule="atLeast"/>
              <w:jc w:val="both"/>
              <w:rPr>
                <w:rFonts w:ascii="Arial" w:hAnsi="Arial" w:cs="Arial"/>
                <w:color w:val="000000"/>
                <w:sz w:val="21"/>
                <w:szCs w:val="21"/>
              </w:rPr>
            </w:pPr>
          </w:p>
          <w:p w14:paraId="3C679D8D" w14:textId="77777777" w:rsidR="00703D07" w:rsidRDefault="00703D07" w:rsidP="00703D0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Bộ TN&amp;MT (báo cáo);</w:t>
            </w:r>
            <w:r>
              <w:rPr>
                <w:rFonts w:ascii="Arial" w:hAnsi="Arial" w:cs="Arial"/>
                <w:color w:val="000000"/>
                <w:sz w:val="21"/>
                <w:szCs w:val="21"/>
              </w:rPr>
              <w:br/>
              <w:t>- Vụ Pháp chế - Bộ TN&amp;MT;</w:t>
            </w:r>
            <w:r>
              <w:rPr>
                <w:rFonts w:ascii="Arial" w:hAnsi="Arial" w:cs="Arial"/>
                <w:color w:val="000000"/>
                <w:sz w:val="21"/>
                <w:szCs w:val="21"/>
              </w:rPr>
              <w:br/>
              <w:t>- Cục Kiểm tra VBQPPL - Bộ Tư pháp;</w:t>
            </w:r>
            <w:r>
              <w:rPr>
                <w:rFonts w:ascii="Arial" w:hAnsi="Arial" w:cs="Arial"/>
                <w:color w:val="000000"/>
                <w:sz w:val="21"/>
                <w:szCs w:val="21"/>
              </w:rPr>
              <w:br/>
              <w:t>- TT: Tỉnh ủy, HĐND tỉnh (báo cáo);</w:t>
            </w:r>
            <w:r>
              <w:rPr>
                <w:rFonts w:ascii="Arial" w:hAnsi="Arial" w:cs="Arial"/>
                <w:color w:val="000000"/>
                <w:sz w:val="21"/>
                <w:szCs w:val="21"/>
              </w:rPr>
              <w:br/>
              <w:t>- CT, các PCT UBND tỉnh;</w:t>
            </w:r>
            <w:r>
              <w:rPr>
                <w:rFonts w:ascii="Arial" w:hAnsi="Arial" w:cs="Arial"/>
                <w:color w:val="000000"/>
                <w:sz w:val="21"/>
                <w:szCs w:val="21"/>
              </w:rPr>
              <w:br/>
              <w:t>- VP Đoàn ĐBQH và HĐND tỉnh;</w:t>
            </w:r>
            <w:r>
              <w:rPr>
                <w:rFonts w:ascii="Arial" w:hAnsi="Arial" w:cs="Arial"/>
                <w:color w:val="000000"/>
                <w:sz w:val="21"/>
                <w:szCs w:val="21"/>
              </w:rPr>
              <w:br/>
              <w:t>- Ủy ban Mặt trận Tổ quốc Việt Nam tỉnh;</w:t>
            </w:r>
            <w:r>
              <w:rPr>
                <w:rFonts w:ascii="Arial" w:hAnsi="Arial" w:cs="Arial"/>
                <w:color w:val="000000"/>
                <w:sz w:val="21"/>
                <w:szCs w:val="21"/>
              </w:rPr>
              <w:br/>
              <w:t>- Các PCVP UBND tỉnh;</w:t>
            </w:r>
            <w:r>
              <w:rPr>
                <w:rFonts w:ascii="Arial" w:hAnsi="Arial" w:cs="Arial"/>
                <w:color w:val="000000"/>
                <w:sz w:val="21"/>
                <w:szCs w:val="21"/>
              </w:rPr>
              <w:br/>
              <w:t>- Sở Tư pháp (tự kiểm tra);</w:t>
            </w:r>
            <w:r>
              <w:rPr>
                <w:rFonts w:ascii="Arial" w:hAnsi="Arial" w:cs="Arial"/>
                <w:color w:val="000000"/>
                <w:sz w:val="21"/>
                <w:szCs w:val="21"/>
              </w:rPr>
              <w:br/>
              <w:t>- Các Sở, Ban, Ngành cấp tỉnh;</w:t>
            </w:r>
            <w:r>
              <w:rPr>
                <w:rFonts w:ascii="Arial" w:hAnsi="Arial" w:cs="Arial"/>
                <w:color w:val="000000"/>
                <w:sz w:val="21"/>
                <w:szCs w:val="21"/>
              </w:rPr>
              <w:br/>
              <w:t>- Trung tâm CB-TH (đăng Cổng thông tin điện tử của UBND tỉnh);</w:t>
            </w:r>
            <w:r>
              <w:rPr>
                <w:rFonts w:ascii="Arial" w:hAnsi="Arial" w:cs="Arial"/>
                <w:color w:val="000000"/>
                <w:sz w:val="21"/>
                <w:szCs w:val="21"/>
              </w:rPr>
              <w:br/>
              <w:t>- Lưu: VT, Đạt (QĐ 27).</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4070E" w14:textId="77777777" w:rsidR="00703D07" w:rsidRDefault="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Phạm Văn Thiều</w:t>
            </w:r>
          </w:p>
        </w:tc>
      </w:tr>
    </w:tbl>
    <w:p w14:paraId="1D7C1937" w14:textId="77777777" w:rsidR="00703D07" w:rsidRDefault="00703D07" w:rsidP="00703D07">
      <w:pPr>
        <w:pStyle w:val="NormalWeb"/>
        <w:spacing w:after="90" w:afterAutospacing="0" w:line="345" w:lineRule="atLeast"/>
        <w:jc w:val="both"/>
        <w:rPr>
          <w:rFonts w:ascii="Arial" w:hAnsi="Arial" w:cs="Arial"/>
          <w:color w:val="000000"/>
          <w:sz w:val="21"/>
          <w:szCs w:val="21"/>
        </w:rPr>
      </w:pPr>
    </w:p>
    <w:p w14:paraId="3CE017C4"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7BFC8A4C"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ĐIỀU KIỆN, DIỆN TÍCH TỐI THIỂU CỦA VIỆC TÁCH THỬA ĐẤT, HỢP THỬA ĐẤT ĐỐI VỚI TỪNG LOẠI ĐẤT TRÊN ĐỊA BÀN TỈNH BẠC LIÊU</w:t>
      </w:r>
      <w:r>
        <w:rPr>
          <w:rFonts w:ascii="Arial" w:hAnsi="Arial" w:cs="Arial"/>
          <w:color w:val="000000"/>
          <w:sz w:val="21"/>
          <w:szCs w:val="21"/>
        </w:rPr>
        <w:br/>
      </w:r>
      <w:r>
        <w:rPr>
          <w:rStyle w:val="Emphasis"/>
          <w:rFonts w:ascii="Arial" w:hAnsi="Arial" w:cs="Arial"/>
          <w:color w:val="000000"/>
          <w:sz w:val="21"/>
          <w:szCs w:val="21"/>
        </w:rPr>
        <w:t>(Ban hành kèm theo Quyết định số 41/2024/QĐ-UBND ngày 14 tháng 10 năm 2024 của Ủy ban nhân dân tỉnh Bạc Liêu)</w:t>
      </w:r>
    </w:p>
    <w:p w14:paraId="22528C7C"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3E422B9"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214FD74"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chỉnh</w:t>
      </w:r>
    </w:p>
    <w:p w14:paraId="2A4C3AB6"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điều kiện, diện tích tối thiểu của việc tách thửa đất, hợp thửa đất đối với từng loại đất trên địa bàn tỉnh Bạc Liêu.</w:t>
      </w:r>
    </w:p>
    <w:p w14:paraId="49751D6D"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đất được phép tách thửa, hợp thửa đất quy định tại Quy định này được xác định theo loại đất ghi trên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w:t>
      </w:r>
      <w:r>
        <w:rPr>
          <w:rStyle w:val="Emphasis"/>
          <w:rFonts w:ascii="Arial" w:hAnsi="Arial" w:cs="Arial"/>
          <w:color w:val="000000"/>
          <w:sz w:val="21"/>
          <w:szCs w:val="21"/>
        </w:rPr>
        <w:t>sau đây gọi chung là Giấy chứng nhận</w:t>
      </w:r>
      <w:r>
        <w:rPr>
          <w:rFonts w:ascii="Arial" w:hAnsi="Arial" w:cs="Arial"/>
          <w:color w:val="000000"/>
          <w:sz w:val="21"/>
          <w:szCs w:val="21"/>
        </w:rPr>
        <w:t>).</w:t>
      </w:r>
    </w:p>
    <w:p w14:paraId="2CF6B91D"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này không áp dụng trong các trường hợp tách thửa sau:</w:t>
      </w:r>
    </w:p>
    <w:p w14:paraId="10285133"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Tách thửa do Nhà nước thu hồi một phần thửa đất;</w:t>
      </w:r>
    </w:p>
    <w:p w14:paraId="75BFC5D3"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Tặng cho quyền sử dụng đất cho Nhà nước; tặng cho quyền sử dụng đất cho cộng đồng dân cư để xây dựng các công trình phục vụ lợi ích chung của cộng đồng hoặc mở rộng đường giao thông theo quy hoạch; tặng cho quyền sử dụng đất để làm nhà tình nghĩa, nhà tình thương, nhà đại đoàn kết, chính sách, hộ nghèo, đồng bào dân tộc thiểu số;</w:t>
      </w:r>
    </w:p>
    <w:p w14:paraId="5915279D"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Tách thửa đất để chuyển nhượng, góp vốn, cho thuê quyền sử dụng đất theo dự án đầu tư đã được cơ quan có thẩm quyền phê duyệt; Dự án đã có quyết định phê duyệt quy hoạch chi tiết xây dựng hoặc bản vẽ tổng mặt bằng và đã được cơ quan có thẩm quyền giao đất, cho thuê đất, cho phép chuyển mục đích sử dụng đất thì thực hiện tách thửa đất, hợp thửa đất theo đúng quy hoạch chi tiết xây dựng hoặc bản vẽ tổng mặt bằng đã được cấp có thẩm quyền phê duyệt;</w:t>
      </w:r>
    </w:p>
    <w:p w14:paraId="1B9D8489"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chia tài sản thừa kế, ly hôn theo quy định;</w:t>
      </w:r>
    </w:p>
    <w:p w14:paraId="04F22EBA"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Tách thửa khi bán nhà ở thuộc sở hữu nhà nước theo quy định của pháp luật về quản lý, sử dụng nhà thuộc sở hữu nhà nước.</w:t>
      </w:r>
    </w:p>
    <w:p w14:paraId="59F73676"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BF1431A"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hộ gia đình, cá nhân có nhu cầu, có quyền và nghĩa vụ liên quan đến thực hiện thủ tục tách thửa đất, hợp thửa đất.</w:t>
      </w:r>
    </w:p>
    <w:p w14:paraId="71A82E69"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tổ chức, cá nhân có thẩm quyền theo quy định pháp luật thực hiện các thủ tục về tách thửa đất, hợp thửa đất với các loại đất trên địa bàn tỉnh Bạc Liêu.</w:t>
      </w:r>
    </w:p>
    <w:p w14:paraId="5C09569F"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tổ chức, cá nhân khác có liên quan đến việc tách thửa đất, hợp thửa đất đối với các loại đất trên địa bàn tỉnh Bạc Liêu.</w:t>
      </w:r>
    </w:p>
    <w:p w14:paraId="6D4D01ED"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E4FDE14"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Thửa đất tiếp giáp đường giao thông công cộng hiện có hoặc lối đi được hình thành khi tách thửa theo Quy định này là thửa đất có cạnh tiếp giáp với lối đi, mép đường, bờ sông, bờ kênh, bờ đê, hành lang an toàn công trình, hành lang kênh, hành lang sông, hành lang đê; chỉ giới đường đỏ, chỉ giới xây dựng được thể hiện theo Giấy chứng nhận đã cấp hoặc được phê duyệt theo quy định.</w:t>
      </w:r>
    </w:p>
    <w:p w14:paraId="19077E35"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F818208"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CỤ THỂ</w:t>
      </w:r>
    </w:p>
    <w:p w14:paraId="36665163" w14:textId="77777777" w:rsidR="00703D07" w:rsidRDefault="00703D07" w:rsidP="00703D0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Điều kiện thửa đất được phép tách thửa, hợp thửa đất</w:t>
      </w:r>
    </w:p>
    <w:p w14:paraId="0E4D0CB3"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tách thửa đất, hợp thửa đất phải đảm bảo các nguyên tắc, điều kiện được quy định tại khoản 1 khoản 2 và khoản 3 Điều 220 của Luật Đất đai năm 2024.</w:t>
      </w:r>
    </w:p>
    <w:p w14:paraId="3CECD850"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tối thiểu thửa đất được tách thửa, hợp thửa (</w:t>
      </w:r>
      <w:r>
        <w:rPr>
          <w:rStyle w:val="Emphasis"/>
          <w:rFonts w:ascii="Arial" w:hAnsi="Arial" w:cs="Arial"/>
          <w:color w:val="000000"/>
          <w:sz w:val="21"/>
          <w:szCs w:val="21"/>
        </w:rPr>
        <w:t>không tính phần diện tích đất thuộc hành lang bảo vệ công trình theo quy định</w:t>
      </w:r>
      <w:r>
        <w:rPr>
          <w:rFonts w:ascii="Arial" w:hAnsi="Arial" w:cs="Arial"/>
          <w:color w:val="000000"/>
          <w:sz w:val="21"/>
          <w:szCs w:val="21"/>
        </w:rPr>
        <w:t>).</w:t>
      </w:r>
    </w:p>
    <w:p w14:paraId="6533521F"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thửa đất tiếp giáp đường giao thông công cộng thì việc tách thửa đất có cạnh tiếp giáp với đường giao thông công cộng (</w:t>
      </w:r>
      <w:r>
        <w:rPr>
          <w:rStyle w:val="Emphasis"/>
          <w:rFonts w:ascii="Arial" w:hAnsi="Arial" w:cs="Arial"/>
          <w:color w:val="000000"/>
          <w:sz w:val="21"/>
          <w:szCs w:val="21"/>
        </w:rPr>
        <w:t>không áp dụng lối đi</w:t>
      </w:r>
      <w:r>
        <w:rPr>
          <w:rFonts w:ascii="Arial" w:hAnsi="Arial" w:cs="Arial"/>
          <w:color w:val="000000"/>
          <w:sz w:val="21"/>
          <w:szCs w:val="21"/>
        </w:rPr>
        <w:t>).</w:t>
      </w:r>
    </w:p>
    <w:p w14:paraId="7CE26007"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Thửa đất chưa có quyết định thu hồi đất của cơ quan nhà nước có thẩm quyền.</w:t>
      </w:r>
    </w:p>
    <w:p w14:paraId="138AD48C"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tách thửa, hợp thửa đất phải đảm bảm diện tích theo quy định tại Điều 5 của Quy định này.</w:t>
      </w:r>
    </w:p>
    <w:p w14:paraId="5008B6D5"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Diện tích tối thiểu được phép tách thửa đất</w:t>
      </w:r>
    </w:p>
    <w:p w14:paraId="795AD727"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tách thửa đất, hợp thửa đất phải đáp ứng các điều kiện quy định tại Điều 4 của Quy định này và diện tích tối thiểu được tách thửa, hợp thửa đất cụ thể sau đây:</w:t>
      </w:r>
    </w:p>
    <w:p w14:paraId="2CFCE1D7"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đất ở:</w:t>
      </w:r>
    </w:p>
    <w:p w14:paraId="7C70B384"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Đất thuộc phường, thị trấn: Không nhỏ hơn 36 m² (</w:t>
      </w:r>
      <w:r>
        <w:rPr>
          <w:rStyle w:val="Emphasis"/>
          <w:rFonts w:ascii="Arial" w:hAnsi="Arial" w:cs="Arial"/>
          <w:color w:val="000000"/>
          <w:sz w:val="21"/>
          <w:szCs w:val="21"/>
        </w:rPr>
        <w:t>Ba mươi sáu mét vuông</w:t>
      </w:r>
      <w:r>
        <w:rPr>
          <w:rFonts w:ascii="Arial" w:hAnsi="Arial" w:cs="Arial"/>
          <w:color w:val="000000"/>
          <w:sz w:val="21"/>
          <w:szCs w:val="21"/>
        </w:rPr>
        <w:t>) chiều rộng cạnh tiếp giáp với đường giao thông công cộng hiện có hoặc lối đi được hình thành khi tách thửa và chiều sâu so với chỉ giới đường đỏ không nhỏ hơn 04 m (</w:t>
      </w:r>
      <w:r>
        <w:rPr>
          <w:rStyle w:val="Emphasis"/>
          <w:rFonts w:ascii="Arial" w:hAnsi="Arial" w:cs="Arial"/>
          <w:color w:val="000000"/>
          <w:sz w:val="21"/>
          <w:szCs w:val="21"/>
        </w:rPr>
        <w:t>Bốn mét</w:t>
      </w:r>
      <w:r>
        <w:rPr>
          <w:rFonts w:ascii="Arial" w:hAnsi="Arial" w:cs="Arial"/>
          <w:color w:val="000000"/>
          <w:sz w:val="21"/>
          <w:szCs w:val="21"/>
        </w:rPr>
        <w:t>).</w:t>
      </w:r>
    </w:p>
    <w:p w14:paraId="0AA3DAEC"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thuộc xã: Không nhỏ hơn 60 m² (</w:t>
      </w:r>
      <w:r>
        <w:rPr>
          <w:rStyle w:val="Emphasis"/>
          <w:rFonts w:ascii="Arial" w:hAnsi="Arial" w:cs="Arial"/>
          <w:color w:val="000000"/>
          <w:sz w:val="21"/>
          <w:szCs w:val="21"/>
        </w:rPr>
        <w:t>Sáu mươi mét vuông</w:t>
      </w:r>
      <w:r>
        <w:rPr>
          <w:rFonts w:ascii="Arial" w:hAnsi="Arial" w:cs="Arial"/>
          <w:color w:val="000000"/>
          <w:sz w:val="21"/>
          <w:szCs w:val="21"/>
        </w:rPr>
        <w:t>) chiều rộng cạnh tiếp giáp với đường giao thông công cộng hiện có hoặc lối đi được hình thành khi tách thửa và chiều sâu không nhỏ hơn 04 m (</w:t>
      </w:r>
      <w:r>
        <w:rPr>
          <w:rStyle w:val="Emphasis"/>
          <w:rFonts w:ascii="Arial" w:hAnsi="Arial" w:cs="Arial"/>
          <w:color w:val="000000"/>
          <w:sz w:val="21"/>
          <w:szCs w:val="21"/>
        </w:rPr>
        <w:t>Bốn mét</w:t>
      </w:r>
      <w:r>
        <w:rPr>
          <w:rFonts w:ascii="Arial" w:hAnsi="Arial" w:cs="Arial"/>
          <w:color w:val="000000"/>
          <w:sz w:val="21"/>
          <w:szCs w:val="21"/>
        </w:rPr>
        <w:t>).</w:t>
      </w:r>
    </w:p>
    <w:p w14:paraId="4B124EE6"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trồng cây lâu năm, đất trồng cây hàng năm khác không nhỏ hơn 500m² (</w:t>
      </w:r>
      <w:r>
        <w:rPr>
          <w:rStyle w:val="Emphasis"/>
          <w:rFonts w:ascii="Arial" w:hAnsi="Arial" w:cs="Arial"/>
          <w:color w:val="000000"/>
          <w:sz w:val="21"/>
          <w:szCs w:val="21"/>
        </w:rPr>
        <w:t>Năm trăm mét vuông</w:t>
      </w:r>
      <w:r>
        <w:rPr>
          <w:rFonts w:ascii="Arial" w:hAnsi="Arial" w:cs="Arial"/>
          <w:color w:val="000000"/>
          <w:sz w:val="21"/>
          <w:szCs w:val="21"/>
        </w:rPr>
        <w:t>).</w:t>
      </w:r>
    </w:p>
    <w:p w14:paraId="1869AC1E"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rừng sản xuất là rừng trồng, đất trồng lúa, đất nuôi trồng thủy sản, đất làm muối, đất nông nghiệp khác không nhỏ hơn 1.000m² (</w:t>
      </w:r>
      <w:r>
        <w:rPr>
          <w:rStyle w:val="Emphasis"/>
          <w:rFonts w:ascii="Arial" w:hAnsi="Arial" w:cs="Arial"/>
          <w:color w:val="000000"/>
          <w:sz w:val="21"/>
          <w:szCs w:val="21"/>
        </w:rPr>
        <w:t>Một ngàn mét vuông</w:t>
      </w:r>
      <w:r>
        <w:rPr>
          <w:rFonts w:ascii="Arial" w:hAnsi="Arial" w:cs="Arial"/>
          <w:color w:val="000000"/>
          <w:sz w:val="21"/>
          <w:szCs w:val="21"/>
        </w:rPr>
        <w:t>).</w:t>
      </w:r>
    </w:p>
    <w:p w14:paraId="28FCB738"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đất đề nghị tách thửa có diện tích nhỏ hơn quy định tại khoản 2 và 3 Điều này thì phải chuyển mục đích sử dụng đất theo quy định tại điểm b khoản 2 Điều 220 của Luật Đất đai 2024 và đảm bảo diện tích theo Điều này và các quy định pháp luật.</w:t>
      </w:r>
    </w:p>
    <w:p w14:paraId="020D9B4A"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Tách thửa đối với thửa đất thương mại, dịch vụ; đất cơ sở sản xuất phi nông nghiệp.</w:t>
      </w:r>
    </w:p>
    <w:p w14:paraId="5F0B2558"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tối thiểu tách thửa không nhỏ hơn 150 m² (</w:t>
      </w:r>
      <w:r>
        <w:rPr>
          <w:rStyle w:val="Emphasis"/>
          <w:rFonts w:ascii="Arial" w:hAnsi="Arial" w:cs="Arial"/>
          <w:color w:val="000000"/>
          <w:sz w:val="21"/>
          <w:szCs w:val="21"/>
        </w:rPr>
        <w:t>Một trăm năm mươi mét vuông</w:t>
      </w:r>
      <w:r>
        <w:rPr>
          <w:rFonts w:ascii="Arial" w:hAnsi="Arial" w:cs="Arial"/>
          <w:color w:val="000000"/>
          <w:sz w:val="21"/>
          <w:szCs w:val="21"/>
        </w:rPr>
        <w:t>), chiều rộng cạnh tiếp giáp với đường giao thông công cộng hiện có hoặc lối đi được hình thành khi tách thửa và chiều sâu so với chỉ giới đường đỏ hoặc hành lang an toàn công trình không nhỏ hơn 07 m (</w:t>
      </w:r>
      <w:r>
        <w:rPr>
          <w:rStyle w:val="Emphasis"/>
          <w:rFonts w:ascii="Arial" w:hAnsi="Arial" w:cs="Arial"/>
          <w:color w:val="000000"/>
          <w:sz w:val="21"/>
          <w:szCs w:val="21"/>
        </w:rPr>
        <w:t>Bảy mét</w:t>
      </w:r>
      <w:r>
        <w:rPr>
          <w:rFonts w:ascii="Arial" w:hAnsi="Arial" w:cs="Arial"/>
          <w:color w:val="000000"/>
          <w:sz w:val="21"/>
          <w:szCs w:val="21"/>
        </w:rPr>
        <w:t>).</w:t>
      </w:r>
    </w:p>
    <w:p w14:paraId="49A49B67"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tách thửa đối với thửa đất ở và nông nghiệp trong cùng thửa đất ở thì phải đảm bảo theo khoản 1 Điều này.</w:t>
      </w:r>
    </w:p>
    <w:p w14:paraId="4AEAA79E"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72D3323" w14:textId="77777777" w:rsidR="00703D07" w:rsidRDefault="00703D07" w:rsidP="00703D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0C0F9E49"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thực hiện</w:t>
      </w:r>
    </w:p>
    <w:p w14:paraId="4E37FE75"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Sở Tài nguyên và Môi trường chịu trách nhiệm phối hợp với các Sở, ban, ngành, đơn vị chức năng có liên quan và Ủy ban nhân dân các huyện, thị xã, thành phố tổ chức triển khai thực hiện Quy định này. Chỉ đạo Văn phòng đăng ký đất đai, Chi nhánh Văn phòng đăng ký đất đai thực hiện việc tách thửa đất, giải quyết các thủ tục về đất đai có liên quan đến tách thửa đảm bảo đúng theo quy định.</w:t>
      </w:r>
    </w:p>
    <w:p w14:paraId="5529A139"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cấp huyện: Chỉ đạo các phòng, đơn vị trực thuộc, Ủy ban nhân dân các xã, phường, thị trấn thường xuyên kiểm tra, xử lý các trường hợp tự tách thửa, hợp thửa đất không đúng với quy định pháp luật.</w:t>
      </w:r>
    </w:p>
    <w:p w14:paraId="391AF5ED" w14:textId="77777777" w:rsidR="00703D07" w:rsidRDefault="00703D07" w:rsidP="00703D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tổ chức thực hiện, nếu có phát sinh vướng mắc, đề nghị các cơ quan, đơn vị, Ủy ban nhân dân các huyện, thị xã, thành phố phản ánh kịp thời phản ánh về Sở Tài nguyên và Môi trường để được hướng dẫn thực hiện. Trường hợp vượt thẩm quyền thì Sở Tài nguyên và Môi trường sẽ tổng hợp và phối hợp với các cơ quan, đơn vị chức năng có liên quan thống nhất tham mưu, trình Ủy ban nhân dân tỉnh xem xét, quyết định.</w:t>
      </w:r>
    </w:p>
    <w:p w14:paraId="6FF7EEF2" w14:textId="2820145F" w:rsidR="006263BE" w:rsidRPr="00703D07" w:rsidRDefault="006263BE" w:rsidP="00703D07"/>
    <w:sectPr w:rsidR="006263BE" w:rsidRPr="00703D07" w:rsidSect="00EF16BB">
      <w:headerReference w:type="even" r:id="rId14"/>
      <w:headerReference w:type="default" r:id="rId15"/>
      <w:footerReference w:type="even" r:id="rId16"/>
      <w:footerReference w:type="default" r:id="rId17"/>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F82F3" w14:textId="77777777" w:rsidR="00AC49EC" w:rsidRDefault="00AC49EC">
      <w:r>
        <w:separator/>
      </w:r>
    </w:p>
  </w:endnote>
  <w:endnote w:type="continuationSeparator" w:id="0">
    <w:p w14:paraId="15B355FC" w14:textId="77777777" w:rsidR="00AC49EC" w:rsidRDefault="00AC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7AEB8" w14:textId="77777777" w:rsidR="00AC49EC" w:rsidRDefault="00AC49EC">
      <w:r>
        <w:separator/>
      </w:r>
    </w:p>
  </w:footnote>
  <w:footnote w:type="continuationSeparator" w:id="0">
    <w:p w14:paraId="52D93709" w14:textId="77777777" w:rsidR="00AC49EC" w:rsidRDefault="00AC4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C49E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745A"/>
    <w:rsid w:val="000529DB"/>
    <w:rsid w:val="000547E0"/>
    <w:rsid w:val="0005666F"/>
    <w:rsid w:val="00057A6B"/>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F1E"/>
    <w:rsid w:val="00AE7437"/>
    <w:rsid w:val="00AF1570"/>
    <w:rsid w:val="00AF4C87"/>
    <w:rsid w:val="00B001E1"/>
    <w:rsid w:val="00B00B5A"/>
    <w:rsid w:val="00B00F6A"/>
    <w:rsid w:val="00B01233"/>
    <w:rsid w:val="00B0181C"/>
    <w:rsid w:val="00B028F9"/>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430F"/>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quyet-dinh-30-2021-qd-ubnd-bac-lieu.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nghi-dinh-102-2024-nd-cp-quy-dinh-chi-tiet-thi-hanh-luat-dat-dai.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101-2024-nd-cp.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dmin.luatminhkhue.vn/van-ban/luat-sua-doi-bo-sung-luat-dat-dai-2024-luat-nha-o-2023-luat-kinh-doanh-bds-2023-luat-cac-to-chuc-tin-dung-2024.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luat-dat-dai-nam-2024.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6</Pages>
  <Words>1552</Words>
  <Characters>8853</Characters>
  <Application>Microsoft Office Word</Application>
  <DocSecurity>0</DocSecurity>
  <Lines>73</Lines>
  <Paragraphs>20</Paragraphs>
  <ScaleCrop>false</ScaleCrop>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411</cp:revision>
  <dcterms:created xsi:type="dcterms:W3CDTF">2024-12-02T03:13:00Z</dcterms:created>
  <dcterms:modified xsi:type="dcterms:W3CDTF">2025-01-21T05:53:00Z</dcterms:modified>
</cp:coreProperties>
</file>