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3" w:history="1">
        <w:r>
          <w:rPr>
            <w:rStyle w:val="Hyperlink"/>
          </w:rPr>
          <w:t xml:space="preserve">11/2011/NĐ-CP </w:t>
        </w:r>
      </w:hyperlink>
      <w:r>
        <w:t xml:space="preserve"> NGÀY 30 THÁNG 1 NĂM 2011 CỦA CHÍNH PHỦ SỬA ĐỔI, BỔ SUNG MỘT SỐ ĐIỀU CỦA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Xét đề nghị của Bộ trưởng Bộ Quốc phòng,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Sửa đổi, bổ sung một số điều của Nghị định số </w:t>
      </w:r>
      <w:hyperlink r:id="rId4" w:history="1">
        <w:r>
          <w:rPr>
            <w:rStyle w:val="Hyperlink"/>
          </w:rPr>
          <w:t xml:space="preserve">159/2006/NĐ-CP </w:t>
        </w:r>
      </w:hyperlink>
      <w:r>
        <w:t xml:space="preserve">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Sửa đổi, bổ sung Điều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thực hiện chế độ hưu trí hàng tháng quy định tại Điều 1 Nghị định này là quân nhân nhập ngũ từ ngày 30 tháng 4 năm 1975 trở về trước có 20 năm trở lên phục vụ quân đội, hiện không thuộc diện đang được hưởng chế độ hưu trí, chế độ mất sức lao động hoặc chế độ bệnh binh hàng tháng,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phục viên, xuất ngũ trước ngày 01 tháng 4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Thương binh bị suy giảm khả năng lao động 81% trở lên đang điều trị tại các trung tâm điều dưỡng thương binh hoặc từ trung tâm điều dưỡng thương binh đã về gia đình trước ngày 01 tháng 4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Quân nhân chuyển ngành hoặc chuyển sang công nhân viên chức quốc phòng rồi thôi việc trước ngày 01 tháng 01 năm 1995; đã có quyết định chuyển ngành trước ngày 01 tháng 4 năm 2000 nhưng không thực hiện được hoặc quân nhân đã về địa phương mà chưa giải quyết chế độ phục viên, xuất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Quân nhân phục viên, xuất ngũ đi lao động hợp tác quốc tế hoặc được cử đi lao động hợp tác quốc tế về nước đã phục viên, xuất ngũ trước ngày 01 tháng 4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không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quy định tại khoản 1 Điều này không được hưởng chế độ quy định tại Nghị định này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Đào ngũ, đầu hàng, phản bội, chiêu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pháp luật đang chấp hành án tù chung thân; đang thi hành án tù giam; bị kết án về một trong các tội về xâm phạm an ninh quốc gia mà chưa được xóa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Xuất cảnh trái phép hoặc đang bị tòa án tuyên bố là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Sửa đổi, bổ sung khoản 2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Quân nhân đủ điều kiện hưởng chế độ hưu trí hàng tháng theo quy định tại điểm a khoản 1 Điều 2 Nghị định này đã từ trần trước ngày 01 tháng 01 năm 2007 và tại điểm c, điểm d khoản 1 Điều 2 Nghị định này đã từ trần trước ngày 01 tháng 4 năm 2011 thì thân nhân chủ yếu được hưởng chế độ một lần bằng 3.600.000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Bổ sung Điều 7a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7a.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an nhân dân trực tiếp tham gia kháng chiến chống Mỹ cứu nước từ ngày 30 tháng 4 năm 1975 trở về trước có 20 năm trở lên phục vụ trong lực lượng công an nhân dân, gồm cả thời gian phục vụ trong quân đội sau đó chuyển sang công an, hiện không thuộc diện đang được hưởng chế độ hưu trí, chế độ mất sức lao động hoặc chế độ bệnh binh hàng tháng được hưởng chế độ hưu trí quy định tại Điều 3 và chế độ quy định tại khoản 1, Điều 4 Nghị định này nếu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xuất ngũ, thôi việc trước ngày 01 tháng 4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Thương binh bị suy giảm khả năng lao động 81% trở lên đang điều trị tại các trung tâm điều dưỡng thương binh hoặc từ trung tâm điều dưỡng thương binh đã về gia đình trước ngày 01 tháng 4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an nhân dân chuyển ngành hoặc chuyển sang công nhân viên chức công an rồi thôi việc trước ngày 01 tháng 01 năm 1995; đã có quyết định chuyển ngành trước ngày 01 tháng 4 năm 2000 nhưng không thực hiện được hoặc công an nhân dân đã về địa phương mà chưa giải quyết chế độ xuất ngũ,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an nhân dân xuất ngũ, thôi việc đi lao động hợp tác quốc tế hoặc được cử đi lao động hợp tác quốc tế về nước đã xuất ngũ, thôi việc trước ngày 01 tháng 4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nhân dân quy định tại điểm a, điểm c, điểm d khoản 1 Điều này đã từ trần trước ngày 01 tháng 4 năm 2011 thì thân nhân chủ yếu được hưởng chế độ một lần bằng 3.600.000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quy định tại khoản 1 Điều này không được hưởng chế độ quy định tại Nghị định này nếu thuộc một trong các trường hợp quy định tại khoản 2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Sửa đổi, bổ sung đoạn 2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Quân nhân quy định tại điểm a, điểm b khoản 1 Điều 2 Nghị định này được hưởng chế độ hưu trí hàng tháng kể từ ngày 01 tháng 01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Quân nhân quy định tại điểm c, điểm d khoản 1 Điều 2 và công an nhân dân quy định tại khoản 1 Điều 7a Nghị định này được hưởng chế độ hưu trí hàng tháng kể từ ngày 01 tháng 5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01 tháng 4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Quốc phòng, Bộ Lao động – Thương binh và Xã hội, Bộ Tài chính ban hành Thông tư liên tịch hướng dẫn thực hiện chế độ đối với đối tượng quy định tại khoản 1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Bộ Lao động – Thương binh và Xã hội, Bộ Tài chính ban hành Thông tư liên tịch hướng dẫn thực hiện chế độ đối với đối tượng quy định tại khoản 3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r>
        <w:rPr>
          <w:b/>
        </w:rPr>
        <w:br/>
      </w:r>
      <w:r>
        <w:rPr>
          <w:b/>
        </w:rPr>
        <w:t xml:space="preserve">Nguyễn Tấn Dũng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6. Luật sư tư vấn giải quyết tranh chấp hôn nhân gia đình;</w:t>
        </w:r>
      </w:hyperlink>
    </w:p>
    <w:sectPr>
      <w:headerReference w:type="default" r:id="rId12"/>
      <w:footerReference w:type="default" r:id="rId13"/>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bao-chua--tranh-tung-tai-toa-an.aspx" TargetMode="External" /><Relationship Id="rId11" Type="http://schemas.openxmlformats.org/officeDocument/2006/relationships/hyperlink" Target="/luat-su-tu-van-phap-luat-hon-nhan-gia-dinh-truc-tuyen-qua-tong-dai-dien-thoai-.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fontTable" Target="fontTable.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2011-nd-cp-che-do-huu-tri-doi-voi-quan-nhan.aspx" TargetMode="External" /><Relationship Id="rId4" Type="http://schemas.openxmlformats.org/officeDocument/2006/relationships/hyperlink" Target="/nghi-dinh-159-2006-nd-cp-che-do-huu-tri-doi-voi-quan-nhan-truc-tiep-tham-gia-khang-chien-chong-my.aspx" TargetMode="Externa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u-van-phap-luat-linh-vuc-dan-su.aspx" TargetMode="External" /><Relationship Id="rId8" Type="http://schemas.openxmlformats.org/officeDocument/2006/relationships/hyperlink" Target="/tu-van-luat-hanh-chinh-viet-nam.aspx" TargetMode="External" /><Relationship Id="rId9" Type="http://schemas.openxmlformats.org/officeDocument/2006/relationships/hyperlink" Target="/dich-vu-luat-su-rieng-cho-to-chuc--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2022-06-22T13:57:13Z</dcterms:created>
  <dcterms:modified xsi:type="dcterms:W3CDTF">2022-06-22T13:57:13Z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2022-06-22T13:57:13Z</dcterms:created>
  <dcterms:modified xsi:type="dcterms:W3CDTF">2022-06-22T13:57:13Z</dcterms:modified>
</cp:coreProperties>
</file>