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2E2BD8" w14:paraId="3A57B57C" w14:textId="77777777" w:rsidTr="002E2B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4B36" w14:textId="77777777" w:rsidR="002E2BD8" w:rsidRDefault="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C3C73" w14:textId="77777777" w:rsidR="002E2BD8" w:rsidRDefault="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2BD8" w14:paraId="68CD8C41" w14:textId="77777777" w:rsidTr="002E2BD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A283E" w14:textId="77777777" w:rsidR="002E2BD8" w:rsidRDefault="002E2B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116/NQ-CP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B654" w14:textId="77777777" w:rsidR="002E2BD8" w:rsidRDefault="002E2BD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9 năm 2022</w:t>
            </w:r>
          </w:p>
        </w:tc>
      </w:tr>
    </w:tbl>
    <w:p w14:paraId="308A8E5A" w14:textId="77777777" w:rsidR="002E2BD8" w:rsidRDefault="002E2BD8" w:rsidP="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4E83EC62" w14:textId="77777777" w:rsidR="002E2BD8" w:rsidRDefault="002E2BD8" w:rsidP="002E2BD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PHƯƠNG ÁN PHÂN LOẠI TỰ CHỦ TÀI CHÍNH CỦA ĐƠN VỊ SỰ NGHIỆP CÔNG LẬP TRONG NĂM 2022</w:t>
      </w:r>
    </w:p>
    <w:p w14:paraId="361055B3" w14:textId="77777777" w:rsidR="002E2BD8" w:rsidRDefault="002E2BD8" w:rsidP="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BB495A9"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tgtFrame="_blank"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9DE41DF"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39/2022/NĐ-CP</w:t>
        </w:r>
      </w:hyperlink>
      <w:r>
        <w:rPr>
          <w:rStyle w:val="Emphasis"/>
          <w:rFonts w:ascii="Arial" w:hAnsi="Arial" w:cs="Arial"/>
          <w:color w:val="000000"/>
          <w:sz w:val="21"/>
          <w:szCs w:val="21"/>
        </w:rPr>
        <w:t> ngày 18 tháng 6 năm 2022 của Chính phủ ban hành Quy chế làm việc của Chính phủ;</w:t>
      </w:r>
    </w:p>
    <w:p w14:paraId="6E91DACE"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Tài chính tại Tờ trình số 172/TTr-BTC ngày 02 tháng 8 năm 2022;</w:t>
      </w:r>
    </w:p>
    <w:p w14:paraId="6C840605"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Trên cơ sở kết quả biểu quyết của các thành viên Chính phủ;</w:t>
      </w:r>
    </w:p>
    <w:p w14:paraId="1FE7F151" w14:textId="77777777" w:rsidR="002E2BD8" w:rsidRDefault="002E2BD8" w:rsidP="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202181E0"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Về phương án phân loại tự chủ tài chính của đơn vị sự nghiệp công lập năm 2022 trong thời gian chưa sửa đổi, bổ sung Nghị định số 60/2021/NĐ-CP ngày 21 tháng 6 năm 2021 của Chính phủ quy định cơ chế tự chủ tài chính của đơn vị sự nghiệp công lập (Nghị định số 60/2021/NĐ-CP).</w:t>
      </w:r>
    </w:p>
    <w:p w14:paraId="408032DC"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do cơ quan có thẩm quyền của Nhà nước thành lập theo quy định đã được giao quyền tự chủ tài chính theo quy định tại Nghị định số </w:t>
      </w:r>
      <w:hyperlink r:id="rId11" w:tgtFrame="_blank" w:history="1">
        <w:r>
          <w:rPr>
            <w:rStyle w:val="Hyperlink"/>
            <w:rFonts w:ascii="Arial" w:hAnsi="Arial" w:cs="Arial"/>
            <w:color w:val="135ECD"/>
            <w:sz w:val="21"/>
            <w:szCs w:val="21"/>
          </w:rPr>
          <w:t>43/2006/NĐ-CP</w:t>
        </w:r>
      </w:hyperlink>
      <w:r>
        <w:rPr>
          <w:rFonts w:ascii="Arial" w:hAnsi="Arial" w:cs="Arial"/>
          <w:color w:val="000000"/>
          <w:sz w:val="21"/>
          <w:szCs w:val="21"/>
        </w:rPr>
        <w:t> ngày 25 tháng 4 năm 2006 của Chính phủ quy định quyền tự chủ, tự chịu trách nhiệm về thực hiện nhiệm vụ, tổ chức bộ máy, biên chế và tài chính đối với đơn vị sự nghiệp công lập, Nghị định số </w:t>
      </w:r>
      <w:hyperlink r:id="rId12" w:tgtFrame="_blank" w:history="1">
        <w:r>
          <w:rPr>
            <w:rStyle w:val="Hyperlink"/>
            <w:rFonts w:ascii="Arial" w:hAnsi="Arial" w:cs="Arial"/>
            <w:color w:val="135ECD"/>
            <w:sz w:val="21"/>
            <w:szCs w:val="21"/>
          </w:rPr>
          <w:t>54/2016/NĐ-CP</w:t>
        </w:r>
      </w:hyperlink>
      <w:r>
        <w:rPr>
          <w:rFonts w:ascii="Arial" w:hAnsi="Arial" w:cs="Arial"/>
          <w:color w:val="000000"/>
          <w:sz w:val="21"/>
          <w:szCs w:val="21"/>
        </w:rPr>
        <w:t> ngày 14 tháng 6 năm 2016 của Chính phủ quy định cơ chế tự chủ của tổ chức khoa học và công nghệ công lập; Nghị định số </w:t>
      </w:r>
      <w:hyperlink r:id="rId13" w:tgtFrame="_blank" w:history="1">
        <w:r>
          <w:rPr>
            <w:rStyle w:val="Hyperlink"/>
            <w:rFonts w:ascii="Arial" w:hAnsi="Arial" w:cs="Arial"/>
            <w:color w:val="135ECD"/>
            <w:sz w:val="21"/>
            <w:szCs w:val="21"/>
          </w:rPr>
          <w:t>141/2016/NĐ-CP</w:t>
        </w:r>
      </w:hyperlink>
      <w:r>
        <w:rPr>
          <w:rFonts w:ascii="Arial" w:hAnsi="Arial" w:cs="Arial"/>
          <w:color w:val="000000"/>
          <w:sz w:val="21"/>
          <w:szCs w:val="21"/>
        </w:rPr>
        <w:t> ngày 10 tháng 10 năm 2016 của Chính phủ quy định cơ chế tự chủ của đơn vị sự nghiệp công lập trong lĩnh vực sự nghiệp kinh tế và sự nghiệp khác thì tiếp tục thực hiện theo phương án tự chủ tài chính được cấp có thẩm quyền phê duyệt đến hết năm 2022.</w:t>
      </w:r>
    </w:p>
    <w:p w14:paraId="112BFC83"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đơn vị sự nghiệp công lập chưa được phê duyệt phương án tự chủ tài chính thì thực hiện phê duyệt phương án tự chủ tài chính của năm 2022 theo quy định tại Nghị định số 60/2021/NĐ-CP.</w:t>
      </w:r>
    </w:p>
    <w:p w14:paraId="5F82F838"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năm 2023, các đơn vị sự nghiệp công lập xây dựng phương án tự chủ tài chính trình cấp có thẩm quyền xem xét, phê duyệt theo quy định tại Nghị định số 60/2021/NĐ-CP và các văn bản quy phạm pháp luật có liên quan.</w:t>
      </w:r>
    </w:p>
    <w:p w14:paraId="3E7952E3"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đơn vị sự nghiệp công lập đã được cơ quan có thẩm quyền giao tự chủ tài chính theo quy định tại Nghị định số </w:t>
      </w:r>
      <w:hyperlink r:id="rId14" w:tgtFrame="_blank" w:history="1">
        <w:r>
          <w:rPr>
            <w:rStyle w:val="Hyperlink"/>
            <w:rFonts w:ascii="Arial" w:hAnsi="Arial" w:cs="Arial"/>
            <w:color w:val="135ECD"/>
            <w:sz w:val="21"/>
            <w:szCs w:val="21"/>
          </w:rPr>
          <w:t>60/2021/NĐ-CP</w:t>
        </w:r>
      </w:hyperlink>
      <w:r>
        <w:rPr>
          <w:rFonts w:ascii="Arial" w:hAnsi="Arial" w:cs="Arial"/>
          <w:color w:val="000000"/>
          <w:sz w:val="21"/>
          <w:szCs w:val="21"/>
        </w:rPr>
        <w:t> thì tiếp tục thực hiện theo phương án tự chủ tài chính đã được phê duyệt.</w:t>
      </w:r>
    </w:p>
    <w:p w14:paraId="4F6DA070"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Giao Bộ Tài chính tổng hợp các nội dung nêu trên vào dự thảo Nghị định sửa đổi, bổ sung Nghị định số 60/2021/NĐ-CP, trình Chính phủ xem xét, quyết định trong năm 2022.</w:t>
      </w:r>
    </w:p>
    <w:p w14:paraId="3BB0B796"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Nghị quyết này có hiệu lực thi hành kể từ ngày ký ban hành.</w:t>
      </w:r>
    </w:p>
    <w:p w14:paraId="057FD99A" w14:textId="77777777" w:rsidR="002E2BD8" w:rsidRDefault="002E2BD8" w:rsidP="002E2BD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Bộ trưởng Bộ Tài chính, Thủ trưởng cơ quan ngang Bộ, Thủ trưởng cơ quan thuộc Chính phủ, Chủ tịch Ủy ban nhân dân các tỉnh, thành phố trực thuộc Trung ương chịu trách nhiệm thi hành Nghị quyết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7"/>
        <w:gridCol w:w="4446"/>
      </w:tblGrid>
      <w:tr w:rsidR="002E2BD8" w14:paraId="234B07A6" w14:textId="77777777" w:rsidTr="002E2BD8">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B8FD6" w14:textId="77777777" w:rsidR="002E2BD8" w:rsidRDefault="002E2BD8">
            <w:pPr>
              <w:pStyle w:val="NormalWeb"/>
              <w:spacing w:after="90" w:afterAutospacing="0" w:line="345" w:lineRule="atLeast"/>
              <w:jc w:val="both"/>
              <w:rPr>
                <w:rFonts w:ascii="Arial" w:hAnsi="Arial" w:cs="Arial"/>
                <w:color w:val="000000"/>
                <w:sz w:val="21"/>
                <w:szCs w:val="21"/>
              </w:rPr>
            </w:pPr>
          </w:p>
          <w:p w14:paraId="6059C2A2" w14:textId="77777777" w:rsidR="002E2BD8" w:rsidRDefault="002E2BD8" w:rsidP="002E2BD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r>
            <w:r>
              <w:rPr>
                <w:rFonts w:ascii="Arial" w:hAnsi="Arial" w:cs="Arial"/>
                <w:color w:val="000000"/>
                <w:sz w:val="21"/>
                <w:szCs w:val="21"/>
              </w:rPr>
              <w:lastRenderedPageBreak/>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Thư ký TTg, PTTg,</w:t>
            </w:r>
            <w:r>
              <w:rPr>
                <w:rFonts w:ascii="Arial" w:hAnsi="Arial" w:cs="Arial"/>
                <w:color w:val="000000"/>
                <w:sz w:val="21"/>
                <w:szCs w:val="21"/>
              </w:rPr>
              <w:br/>
              <w:t>các Vụ, Cục, đơn vị trực thuộc, Công báo,</w:t>
            </w:r>
            <w:r>
              <w:rPr>
                <w:rFonts w:ascii="Arial" w:hAnsi="Arial" w:cs="Arial"/>
                <w:color w:val="000000"/>
                <w:sz w:val="21"/>
                <w:szCs w:val="21"/>
              </w:rPr>
              <w:br/>
              <w:t>TGĐ Cổng TTĐTCP;</w:t>
            </w:r>
            <w:r>
              <w:rPr>
                <w:rFonts w:ascii="Arial" w:hAnsi="Arial" w:cs="Arial"/>
                <w:color w:val="000000"/>
                <w:sz w:val="21"/>
                <w:szCs w:val="21"/>
              </w:rPr>
              <w:br/>
              <w:t>- Lưu: VT, KTTH (2).G</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9C09" w14:textId="77777777" w:rsidR="002E2BD8" w:rsidRDefault="002E2BD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Khái</w:t>
            </w:r>
          </w:p>
        </w:tc>
      </w:tr>
    </w:tbl>
    <w:p w14:paraId="57B992D3" w14:textId="02E18E37" w:rsidR="00E84537" w:rsidRPr="002E2BD8" w:rsidRDefault="00E84537" w:rsidP="002E2BD8"/>
    <w:sectPr w:rsidR="00E84537" w:rsidRPr="002E2BD8" w:rsidSect="002A4574">
      <w:headerReference w:type="default" r:id="rId15"/>
      <w:footerReference w:type="even" r:id="rId16"/>
      <w:footerReference w:type="default" r:id="rId17"/>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FD41F" w14:textId="77777777" w:rsidR="000E3D6D" w:rsidRDefault="000E3D6D" w:rsidP="006C1190">
      <w:r>
        <w:separator/>
      </w:r>
    </w:p>
  </w:endnote>
  <w:endnote w:type="continuationSeparator" w:id="0">
    <w:p w14:paraId="3D1FF3E1" w14:textId="77777777" w:rsidR="000E3D6D" w:rsidRDefault="000E3D6D"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9028B" w14:textId="77777777" w:rsidR="000E3D6D" w:rsidRDefault="000E3D6D" w:rsidP="006C1190">
      <w:r>
        <w:separator/>
      </w:r>
    </w:p>
  </w:footnote>
  <w:footnote w:type="continuationSeparator" w:id="0">
    <w:p w14:paraId="039E7F0B" w14:textId="77777777" w:rsidR="000E3D6D" w:rsidRDefault="000E3D6D"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649C0"/>
    <w:rsid w:val="00076ECD"/>
    <w:rsid w:val="00093661"/>
    <w:rsid w:val="000A08CA"/>
    <w:rsid w:val="000B35AD"/>
    <w:rsid w:val="000B51EE"/>
    <w:rsid w:val="000B52AC"/>
    <w:rsid w:val="000C0451"/>
    <w:rsid w:val="000C0C41"/>
    <w:rsid w:val="000C6470"/>
    <w:rsid w:val="000E3D6D"/>
    <w:rsid w:val="000F3E81"/>
    <w:rsid w:val="001128EA"/>
    <w:rsid w:val="00151E86"/>
    <w:rsid w:val="00180587"/>
    <w:rsid w:val="00182F4E"/>
    <w:rsid w:val="0018429C"/>
    <w:rsid w:val="0019074A"/>
    <w:rsid w:val="001B6463"/>
    <w:rsid w:val="001D3DF4"/>
    <w:rsid w:val="001E4C28"/>
    <w:rsid w:val="00260B56"/>
    <w:rsid w:val="002674E5"/>
    <w:rsid w:val="00277979"/>
    <w:rsid w:val="002935B6"/>
    <w:rsid w:val="002D06CF"/>
    <w:rsid w:val="002E2BD8"/>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6F0AD7"/>
    <w:rsid w:val="0070151C"/>
    <w:rsid w:val="00714B88"/>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7F6D9A"/>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DF5687"/>
    <w:rsid w:val="00E253BD"/>
    <w:rsid w:val="00E27299"/>
    <w:rsid w:val="00E32F73"/>
    <w:rsid w:val="00E33ABB"/>
    <w:rsid w:val="00E35BEB"/>
    <w:rsid w:val="00E431CF"/>
    <w:rsid w:val="00E51C51"/>
    <w:rsid w:val="00E84537"/>
    <w:rsid w:val="00E87517"/>
    <w:rsid w:val="00E92C9C"/>
    <w:rsid w:val="00E96837"/>
    <w:rsid w:val="00EB0A55"/>
    <w:rsid w:val="00ED366C"/>
    <w:rsid w:val="00EF247B"/>
    <w:rsid w:val="00EF2BFA"/>
    <w:rsid w:val="00EF5D83"/>
    <w:rsid w:val="00F152D2"/>
    <w:rsid w:val="00F15BB6"/>
    <w:rsid w:val="00F20ACF"/>
    <w:rsid w:val="00F455B8"/>
    <w:rsid w:val="00F5178F"/>
    <w:rsid w:val="00F617BD"/>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66733463">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25230046">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34095936">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40341906">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22659303">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nghi-dinh-141-2016-nd-cp.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54-2016-nd-cp.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43-2006-nd-cp.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min.luatminhkhue.vn/van-ban/nghi-dinh-39-2022-nd-cp.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60-2021-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dcterms:created xsi:type="dcterms:W3CDTF">2024-12-11T16:15:00Z</dcterms:created>
  <dcterms:modified xsi:type="dcterms:W3CDTF">2025-01-24T12:48:00Z</dcterms:modified>
</cp:coreProperties>
</file>