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8823" w:type="dxa"/>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2935"/>
        <w:gridCol w:w="5888"/>
      </w:tblGrid>
      <w:tr w:rsidR="00FF2FAB" w14:paraId="083C15A4" w14:textId="77777777" w:rsidTr="00FF2FAB">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B054813" w14:textId="77777777" w:rsidR="00FF2FAB" w:rsidRDefault="00FF2FA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BỘ TÀI CHÍNH</w:t>
            </w:r>
            <w:r>
              <w:rPr>
                <w:rFonts w:ascii="Arial" w:hAnsi="Arial" w:cs="Arial"/>
                <w:b/>
                <w:bCs/>
                <w:color w:val="000000"/>
                <w:sz w:val="21"/>
                <w:szCs w:val="21"/>
              </w:rPr>
              <w:br/>
            </w:r>
            <w:r>
              <w:rPr>
                <w:rStyle w:val="Strong"/>
                <w:rFonts w:ascii="Arial" w:hAnsi="Arial" w:cs="Arial"/>
                <w:color w:val="000000"/>
                <w:sz w:val="21"/>
                <w:szCs w:val="21"/>
              </w:rPr>
              <w:t>-------</w:t>
            </w:r>
          </w:p>
          <w:p w14:paraId="44AAFC29" w14:textId="77777777" w:rsidR="00FF2FAB" w:rsidRDefault="00FF2FAB">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190/2014/TT-BTC</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E988317" w14:textId="77777777" w:rsidR="00FF2FAB" w:rsidRDefault="00FF2FA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p w14:paraId="6BE9ED28" w14:textId="77777777" w:rsidR="00FF2FAB" w:rsidRDefault="00FF2FAB">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Hà Nội, ngày 11 tháng 12 năm 2014</w:t>
            </w:r>
          </w:p>
        </w:tc>
      </w:tr>
    </w:tbl>
    <w:p w14:paraId="0416DCAB" w14:textId="77777777" w:rsidR="00FF2FAB" w:rsidRDefault="00FF2FAB" w:rsidP="00FF2FA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THÔNG TƯ</w:t>
      </w:r>
    </w:p>
    <w:p w14:paraId="7C1C4669" w14:textId="77777777" w:rsidR="00FF2FAB" w:rsidRDefault="00FF2FAB" w:rsidP="00FF2FAB">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Quy định thực hiện chính sách hỗ trợ tiền điện cho hộ nghèo và hộ chính sách xã hội do Bộ trưởng Bộ Tài chính ban hành</w:t>
      </w:r>
    </w:p>
    <w:p w14:paraId="63C6367C" w14:textId="77777777" w:rsidR="00FF2FAB" w:rsidRDefault="00FF2FAB" w:rsidP="00FF2FA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w:t>
      </w:r>
      <w:r>
        <w:rPr>
          <w:rStyle w:val="apple-converted-space"/>
          <w:rFonts w:ascii="Arial" w:hAnsi="Arial" w:cs="Arial"/>
          <w:i/>
          <w:iCs/>
          <w:color w:val="000000"/>
          <w:sz w:val="21"/>
          <w:szCs w:val="21"/>
        </w:rPr>
        <w:t> </w:t>
      </w:r>
      <w:hyperlink r:id="rId7" w:tgtFrame="_blank" w:history="1">
        <w:r>
          <w:rPr>
            <w:rStyle w:val="Hyperlink"/>
            <w:rFonts w:ascii="Arial" w:hAnsi="Arial" w:cs="Arial"/>
            <w:i/>
            <w:iCs/>
            <w:color w:val="135ECD"/>
            <w:sz w:val="21"/>
            <w:szCs w:val="21"/>
          </w:rPr>
          <w:t>Luật Ngân sách nhà nước</w:t>
        </w:r>
      </w:hyperlink>
      <w:r>
        <w:rPr>
          <w:rStyle w:val="apple-converted-space"/>
          <w:rFonts w:ascii="Arial" w:hAnsi="Arial" w:cs="Arial"/>
          <w:i/>
          <w:iCs/>
          <w:color w:val="000000"/>
          <w:sz w:val="21"/>
          <w:szCs w:val="21"/>
        </w:rPr>
        <w:t> </w:t>
      </w:r>
      <w:r>
        <w:rPr>
          <w:rStyle w:val="Emphasis"/>
          <w:rFonts w:ascii="Arial" w:hAnsi="Arial" w:cs="Arial"/>
          <w:color w:val="000000"/>
          <w:sz w:val="21"/>
          <w:szCs w:val="21"/>
        </w:rPr>
        <w:t>số 01/2002/QH11 ngày 16 tháng năm2002;</w:t>
      </w:r>
    </w:p>
    <w:p w14:paraId="46251521" w14:textId="77777777" w:rsidR="00FF2FAB" w:rsidRDefault="00FF2FAB" w:rsidP="00FF2FA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Nghị định số</w:t>
      </w:r>
      <w:r>
        <w:rPr>
          <w:rStyle w:val="apple-converted-space"/>
          <w:rFonts w:ascii="Arial" w:hAnsi="Arial" w:cs="Arial"/>
          <w:i/>
          <w:iCs/>
          <w:color w:val="000000"/>
          <w:sz w:val="21"/>
          <w:szCs w:val="21"/>
        </w:rPr>
        <w:t> </w:t>
      </w:r>
      <w:hyperlink r:id="rId8" w:tgtFrame="_blank" w:history="1">
        <w:r>
          <w:rPr>
            <w:rStyle w:val="Hyperlink"/>
            <w:rFonts w:ascii="Arial" w:hAnsi="Arial" w:cs="Arial"/>
            <w:i/>
            <w:iCs/>
            <w:color w:val="135ECD"/>
            <w:sz w:val="21"/>
            <w:szCs w:val="21"/>
          </w:rPr>
          <w:t>60/2003/NĐ-CP</w:t>
        </w:r>
        <w:r>
          <w:rPr>
            <w:rStyle w:val="apple-converted-space"/>
            <w:rFonts w:ascii="Arial" w:hAnsi="Arial" w:cs="Arial"/>
            <w:i/>
            <w:iCs/>
            <w:color w:val="135ECD"/>
            <w:sz w:val="21"/>
            <w:szCs w:val="21"/>
            <w:u w:val="single"/>
          </w:rPr>
          <w:t> </w:t>
        </w:r>
      </w:hyperlink>
      <w:r>
        <w:rPr>
          <w:rStyle w:val="Emphasis"/>
          <w:rFonts w:ascii="Arial" w:hAnsi="Arial" w:cs="Arial"/>
          <w:color w:val="000000"/>
          <w:sz w:val="21"/>
          <w:szCs w:val="21"/>
        </w:rPr>
        <w:t>ngày 6 tháng 6 năm 2003 của Chính phủ quy định chi tiết và hướng dẫn thi hành Luật Ngân sách nhà nước;</w:t>
      </w:r>
    </w:p>
    <w:p w14:paraId="17A863EA" w14:textId="77777777" w:rsidR="00FF2FAB" w:rsidRDefault="00FF2FAB" w:rsidP="00FF2FA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Nghị định số</w:t>
      </w:r>
      <w:hyperlink r:id="rId9" w:tgtFrame="_blank" w:history="1">
        <w:r>
          <w:rPr>
            <w:rStyle w:val="apple-converted-space"/>
            <w:rFonts w:ascii="Arial" w:hAnsi="Arial" w:cs="Arial"/>
            <w:i/>
            <w:iCs/>
            <w:color w:val="135ECD"/>
            <w:sz w:val="21"/>
            <w:szCs w:val="21"/>
            <w:u w:val="single"/>
          </w:rPr>
          <w:t> </w:t>
        </w:r>
        <w:r>
          <w:rPr>
            <w:rStyle w:val="Hyperlink"/>
            <w:rFonts w:ascii="Arial" w:hAnsi="Arial" w:cs="Arial"/>
            <w:i/>
            <w:iCs/>
            <w:color w:val="135ECD"/>
            <w:sz w:val="21"/>
            <w:szCs w:val="21"/>
          </w:rPr>
          <w:t>215/2013/NĐ-CP</w:t>
        </w:r>
      </w:hyperlink>
      <w:r>
        <w:rPr>
          <w:rStyle w:val="apple-converted-space"/>
          <w:rFonts w:ascii="Arial" w:hAnsi="Arial" w:cs="Arial"/>
          <w:i/>
          <w:iCs/>
          <w:color w:val="000000"/>
          <w:sz w:val="21"/>
          <w:szCs w:val="21"/>
        </w:rPr>
        <w:t> </w:t>
      </w:r>
      <w:r>
        <w:rPr>
          <w:rStyle w:val="Emphasis"/>
          <w:rFonts w:ascii="Arial" w:hAnsi="Arial" w:cs="Arial"/>
          <w:color w:val="000000"/>
          <w:sz w:val="21"/>
          <w:szCs w:val="21"/>
        </w:rPr>
        <w:t>ngày 23 tháng 12 năm 2013 củaChính phủ quy định chức năng, nhiệm vụ, quyền hạn và cơ cấu tổ chức của Bộ Tài chính;</w:t>
      </w:r>
    </w:p>
    <w:p w14:paraId="320DC214" w14:textId="77777777" w:rsidR="00FF2FAB" w:rsidRDefault="00FF2FAB" w:rsidP="00FF2FA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Quyết định số</w:t>
      </w:r>
      <w:r>
        <w:rPr>
          <w:rStyle w:val="apple-converted-space"/>
          <w:rFonts w:ascii="Arial" w:hAnsi="Arial" w:cs="Arial"/>
          <w:i/>
          <w:iCs/>
          <w:color w:val="000000"/>
          <w:sz w:val="21"/>
          <w:szCs w:val="21"/>
        </w:rPr>
        <w:t> </w:t>
      </w:r>
      <w:hyperlink r:id="rId10" w:tgtFrame="_blank" w:history="1">
        <w:r>
          <w:rPr>
            <w:rStyle w:val="Hyperlink"/>
            <w:rFonts w:ascii="Arial" w:hAnsi="Arial" w:cs="Arial"/>
            <w:i/>
            <w:iCs/>
            <w:color w:val="135ECD"/>
            <w:sz w:val="21"/>
            <w:szCs w:val="21"/>
          </w:rPr>
          <w:t>28/2014/QĐ-TTg</w:t>
        </w:r>
      </w:hyperlink>
      <w:r>
        <w:rPr>
          <w:rStyle w:val="apple-converted-space"/>
          <w:rFonts w:ascii="Arial" w:hAnsi="Arial" w:cs="Arial"/>
          <w:i/>
          <w:iCs/>
          <w:color w:val="000000"/>
          <w:sz w:val="21"/>
          <w:szCs w:val="21"/>
        </w:rPr>
        <w:t> </w:t>
      </w:r>
      <w:r>
        <w:rPr>
          <w:rStyle w:val="Emphasis"/>
          <w:rFonts w:ascii="Arial" w:hAnsi="Arial" w:cs="Arial"/>
          <w:color w:val="000000"/>
          <w:sz w:val="21"/>
          <w:szCs w:val="21"/>
        </w:rPr>
        <w:t>ngày 7 tháng 4 năm 2014 của Thủ tướng Chính phủ quy định về cơ cấu biểu giá bán lẻ điện;</w:t>
      </w:r>
    </w:p>
    <w:p w14:paraId="54DB4A56" w14:textId="77777777" w:rsidR="00FF2FAB" w:rsidRDefault="00FF2FAB" w:rsidP="00FF2FA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Quyết định số</w:t>
      </w:r>
      <w:r>
        <w:rPr>
          <w:rStyle w:val="apple-converted-space"/>
          <w:rFonts w:ascii="Arial" w:hAnsi="Arial" w:cs="Arial"/>
          <w:i/>
          <w:iCs/>
          <w:color w:val="000000"/>
          <w:sz w:val="21"/>
          <w:szCs w:val="21"/>
        </w:rPr>
        <w:t> </w:t>
      </w:r>
      <w:hyperlink r:id="rId11" w:tgtFrame="_blank" w:history="1">
        <w:r>
          <w:rPr>
            <w:rStyle w:val="Hyperlink"/>
            <w:rFonts w:ascii="Arial" w:hAnsi="Arial" w:cs="Arial"/>
            <w:i/>
            <w:iCs/>
            <w:color w:val="135ECD"/>
            <w:sz w:val="21"/>
            <w:szCs w:val="21"/>
          </w:rPr>
          <w:t>60/2014/QĐ-TTg</w:t>
        </w:r>
        <w:r>
          <w:rPr>
            <w:rStyle w:val="apple-converted-space"/>
            <w:rFonts w:ascii="Arial" w:hAnsi="Arial" w:cs="Arial"/>
            <w:i/>
            <w:iCs/>
            <w:color w:val="135ECD"/>
            <w:sz w:val="21"/>
            <w:szCs w:val="21"/>
            <w:u w:val="single"/>
          </w:rPr>
          <w:t> </w:t>
        </w:r>
      </w:hyperlink>
      <w:r>
        <w:rPr>
          <w:rStyle w:val="Emphasis"/>
          <w:rFonts w:ascii="Arial" w:hAnsi="Arial" w:cs="Arial"/>
          <w:color w:val="000000"/>
          <w:sz w:val="21"/>
          <w:szCs w:val="21"/>
        </w:rPr>
        <w:t>ngày 30 tháng 10 năm 2014 của Thủ tướng Chính phủ quy định tiêu chí hộ chính sách xã hội được hỗ trợ tiền điện;</w:t>
      </w:r>
    </w:p>
    <w:p w14:paraId="7BBFB39C" w14:textId="77777777" w:rsidR="00FF2FAB" w:rsidRDefault="00FF2FAB" w:rsidP="00FF2FA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Sau khi có ý kiến của Bộ Lao động - Thương binh và Xã hội tại Công văn số 2096/LĐTBXH-KHTC ngày 19 tháng 6 năm 2014, ý kiến của Bộ Công thương tại Công văn số 4478/BCT-ĐTĐL ngày 26 tháng 5 năm 2014;</w:t>
      </w:r>
    </w:p>
    <w:p w14:paraId="045A56DF" w14:textId="77777777" w:rsidR="00FF2FAB" w:rsidRDefault="00FF2FAB" w:rsidP="00FF2FA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Theo đề nghị của Vụ trưởng Vụ Ngân sách Nhà nước;</w:t>
      </w:r>
    </w:p>
    <w:p w14:paraId="18C34B68" w14:textId="77777777" w:rsidR="00FF2FAB" w:rsidRDefault="00FF2FAB" w:rsidP="00FF2FA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Bộ trưởng Bộ Tài chính ban hành Thông tư quy định thực hiện chính sách hỗ trợ tiền điện cho hộ nghèo và hộ chính sách xã hội.</w:t>
      </w:r>
    </w:p>
    <w:p w14:paraId="17309692" w14:textId="77777777" w:rsidR="00FF2FAB" w:rsidRDefault="00FF2FAB" w:rsidP="00FF2FA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 Phạm vi điều chỉnh và đối tượng áp dụng</w:t>
      </w:r>
    </w:p>
    <w:p w14:paraId="3E0D24F3" w14:textId="77777777" w:rsidR="00FF2FAB" w:rsidRDefault="00FF2FAB" w:rsidP="00FF2F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Thông tư này quy định thực hiện chính sách hỗ trợ tiền điện cho hộ nghèo và hộ chính sách xã hội theo Quyết định số 28/2014/QĐ-TTg ngày 07 tháng 4 năm 2014 của Thủ tướng Chính phủ quy định về cơ cấu biểu giá bán lẻ điện.</w:t>
      </w:r>
    </w:p>
    <w:p w14:paraId="194F43D0" w14:textId="77777777" w:rsidR="00FF2FAB" w:rsidRDefault="00FF2FAB" w:rsidP="00FF2F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Đối tượng được hỗ trợ tiền điện sử dụng cho mục đích sinh hoạt là một trong những hộ gia đình sau:</w:t>
      </w:r>
    </w:p>
    <w:p w14:paraId="10E94B9F" w14:textId="77777777" w:rsidR="00FF2FAB" w:rsidRDefault="00FF2FAB" w:rsidP="00FF2F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Hộ nghèo được cấp có thẩm quyền phê duyệt theo tiêu chí quy định tại Quyết định số 09/2011/QĐ-TTg ngày 30 tháng 01 năm 2011 của Thủ tướng Chính phủ về ban hành chuẩn hộ nghèo, hộ cận nghèo áp dụng cho giai đoạn 2011 - 2015 và các văn bản sửa đổi, bổ sung hoặc thay thế nếu có (Sau đây gọi là hộ nghèo); Trường hợp địa phương có hộ nghèo theo chuẩn quy định của địa phương cao hơn chuẩn hộ nghèo quốc gia thì thực hiện theo chuẩn hộ nghèo thực tế tại từng địa phương, kinh phí hỗ trợ tiền điện cho số hộ nghèo có chuẩn nghèo cao hơn chuẩn quốc gia do ngân sách địa phương đảm bảo theo quy định của Luật Ngân sách nhà nước.</w:t>
      </w:r>
    </w:p>
    <w:p w14:paraId="6106CA0F" w14:textId="77777777" w:rsidR="00FF2FAB" w:rsidRDefault="00FF2FAB" w:rsidP="00FF2F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Hộ chính sách xã hội được cấp có thẩm quyềnphê duyệt theo tiêu chí quy định tại Quyết định số 60/2014/QĐ-TTg ngày 30 tháng 10 năm 2014 của Thủ tướng Chính phủ quy định tiêu chí hộ chính sách xã hội được hỗ trợ tiền điện và cácvăn bản sửa đổi, bổ sung hoặc thay thế nếu có, không thuộc diện hộ nghèo quy định tại điểm a khoản 2 Điều này (Sau đây gọi là hộ chính sách xã hội).</w:t>
      </w:r>
    </w:p>
    <w:p w14:paraId="5C827D3C" w14:textId="77777777" w:rsidR="00FF2FAB" w:rsidRDefault="00FF2FAB" w:rsidP="00FF2FA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 Mức hỗ trợ, phương thức hỗ trợ và thời gian thực hiện</w:t>
      </w:r>
    </w:p>
    <w:p w14:paraId="150B5432" w14:textId="77777777" w:rsidR="00FF2FAB" w:rsidRDefault="00FF2FAB" w:rsidP="00FF2F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Mỗi hộ nghèo và hộ chính sách xã hội chỉ được hưởng một mức hỗ trợ tiền điện. Mức hỗ trợ tiền điện cho mục đích sinh hoạt hàng tháng tương đương tiền điện sử dụng 30 kWh tính theo mức giá bán lẻ điện sinh hoạt bậc 1 hiện hành là 46.000 đồng/hộ/tháng. Khi cơ quan có thẩm quyền quyết định điều chỉnh giá bán lẻ điện sinh hoạt bậc 1 tăng, giảm so với hiện hành, Ủy ban nhân dân các tỉnh, thành phố trực thuộc trung ương điều chỉnh kịp thời mức hỗ trợ tiền điện hàng tháng tương đương tiền điện sử dụng 30 kWh tính theo mức giá bán lẻ điện sinh hoạt bậc 1 đã điều chỉnh.</w:t>
      </w:r>
    </w:p>
    <w:p w14:paraId="6EA9BD21" w14:textId="77777777" w:rsidR="00FF2FAB" w:rsidRDefault="00FF2FAB" w:rsidP="00FF2F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Phương thức hỗ trợ tiền điện cho hộ nghèo và hộ chính sách xã hội: Chi trả trực tiếp theo hình thức hỗ trợ bằng tiền từng quý đến hộ nghèo và hộ chính sách xã hội.</w:t>
      </w:r>
    </w:p>
    <w:p w14:paraId="00C99952" w14:textId="77777777" w:rsidR="00FF2FAB" w:rsidRDefault="00FF2FAB" w:rsidP="00FF2F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Thời gian thực hiện chính sách hỗ trợ tiền điện cho hộ nghèo và hộ chính sách xã hội được thực hiện từ ngày 01 tháng 6 năm 2014 theo quy định tại Quyết định số 28/2014/QĐ-TTg ngày 07 tháng 4 năm 2014 của Thủ tướng Chính phủ.</w:t>
      </w:r>
    </w:p>
    <w:p w14:paraId="510B9BDB" w14:textId="77777777" w:rsidR="00FF2FAB" w:rsidRDefault="00FF2FAB" w:rsidP="00FF2FA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 Nguồn kinh phí thực hiện</w:t>
      </w:r>
    </w:p>
    <w:p w14:paraId="4566FBD3" w14:textId="77777777" w:rsidR="00FF2FAB" w:rsidRDefault="00FF2FAB" w:rsidP="00FF2F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Nguồn kinh phí hỗ trợ tiền điện cho hộ nghèo và hộ chính sách xã hội do ngân sách nhà nước đảm bảo theo nguyên tắc sau:</w:t>
      </w:r>
    </w:p>
    <w:p w14:paraId="1AD795BC" w14:textId="77777777" w:rsidR="00FF2FAB" w:rsidRDefault="00FF2FAB" w:rsidP="00FF2F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Ngân sách Trung ương: Hỗ trợ 100% kinh phí cho các địa phương chưa tự cân đối được ngân sách và tỉnh Quảng Ngãi; hỗ trợ 50% kinh phí cho các địa phương có tỷ lệ điều tiết các khoản thu phân chia về ngân sách Trung ương dưới 50%;</w:t>
      </w:r>
    </w:p>
    <w:p w14:paraId="5B981D18" w14:textId="77777777" w:rsidR="00FF2FAB" w:rsidRDefault="00FF2FAB" w:rsidP="00FF2F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Ngân sách địa phương: Những địa phương có tỷ lệ điều tiết các khoản thu phân chia về ngân sách Trung ương dưới 50%, cân đối ngân sách địa phương bố trí 50% kinh phí. Các địa phương còn lại, ngân sách địa phương tự đảm bảo. Đối với các địa phương có số hộ nghèo theo chuẩn nghèo của địa phương cao hơn chuẩn hộ nghèo quốc gia, Ủy ban nhân dân tỉnh, thành phố trực thuộc trung ương báo cáo Hội đồng nhân dân cấp tỉnh quyết định cân đối ngân sách địa phương để thực hiện hỗ trợ tiền điện cho số hộ nghèo đó.</w:t>
      </w:r>
    </w:p>
    <w:p w14:paraId="75A10CB7" w14:textId="77777777" w:rsidR="00FF2FAB" w:rsidRDefault="00FF2FAB" w:rsidP="00FF2F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Kinh phí tổ chức triển khai, chỉ đạo, kiểm tra, giám sát, sơ kết, tổng kết được bố trí trong dự toán chi thường xuyên của các Bộ, ngành và địa phương theo phân cấp quản lý ngân sách nhà nước hiện hành.</w:t>
      </w:r>
    </w:p>
    <w:p w14:paraId="3E71B102" w14:textId="77777777" w:rsidR="00FF2FAB" w:rsidRDefault="00FF2FAB" w:rsidP="00FF2FA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 Lập dự toán ngân sách nhà nước</w:t>
      </w:r>
    </w:p>
    <w:p w14:paraId="2AA05C31" w14:textId="77777777" w:rsidR="00FF2FAB" w:rsidRDefault="00FF2FAB" w:rsidP="00FF2F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Việc lập, phân bổ dự toán kinh phí hỗ trợ tiền điện cho hộ nghèo và hộ chính sách xã hội thực hiện theo quy định của Luật Ngân sách nhà nước và các văn bản hướng dẫn.</w:t>
      </w:r>
    </w:p>
    <w:p w14:paraId="64FD7BB2" w14:textId="77777777" w:rsidR="00FF2FAB" w:rsidRDefault="00FF2FAB" w:rsidP="00FF2F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Dự toán ngân sách được lập theo các chỉ tiêu, biểu mẫu kèm theo Thông tư này và phải thuyết minh cụ thể căn cứ tính toán (Đối tượng; kinh phí; nguồn kinh phí) theo đúng chế độ, chính sách quy định.</w:t>
      </w:r>
    </w:p>
    <w:p w14:paraId="6B7F48D5" w14:textId="77777777" w:rsidR="00FF2FAB" w:rsidRDefault="00FF2FAB" w:rsidP="00FF2F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Hàng năm, căn cứ số hộ nghèo và hộ chính sách xã hội thuộc diện hỗ trợ tiền điện được cấp có thẩm quyền quyết định và mức hỗ trợ tiền điện, Ủy ban nhân dân cấp xã lập dự toán kinh phí hỗ trợ tiền điện gửi Phòng Tài chính - Kế hoạch, Phòng Lao động - Thương binh và Xã hội tổng hợp dự toán ngân sách huyện.</w:t>
      </w:r>
    </w:p>
    <w:p w14:paraId="0D1A062C" w14:textId="77777777" w:rsidR="00FF2FAB" w:rsidRDefault="00FF2FAB" w:rsidP="00FF2F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Ủy ban nhân dân cấp huyện lập dự toán kinh phí hỗ trợ tiền điện theo biểu mẫu số 01-DT/HTTĐ cùng với dự toán ngân sách huyện gửi Sở Tài chính, Sở Lao động - Thương binh và Xã hội và các cơ quan có liên quan để tổng hợp cùng với dự toán ngân sách tỉnh, thành phố trực thuộc trung ương.</w:t>
      </w:r>
    </w:p>
    <w:p w14:paraId="3A6B83F3" w14:textId="77777777" w:rsidR="00FF2FAB" w:rsidRDefault="00FF2FAB" w:rsidP="00FF2F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Ủy ban nhân dân cấp tỉnh lập dự toán kinh phí hỗ trợ tiền điện theo biểu mẫu số 02-DT/HTTĐ cùng với dự toán ngân sách tỉnh, thành phố trực thuộc trung ương; trong đó xác định rõ các nguồn kinh phí thực hiện: Ngân sách trung ương, ngân sách địa phương gửi Bộ Tài chính, Bộ Lao động - Thương binh và Xã hội.</w:t>
      </w:r>
    </w:p>
    <w:p w14:paraId="49B1E36F" w14:textId="77777777" w:rsidR="00FF2FAB" w:rsidRDefault="00FF2FAB" w:rsidP="00FF2F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Căn cứ báo cáo của các địa phương, Bộ Lao động - Thương binh và Xã hội báo cáo theo biểu mẫu số 03-DT/HTTĐ, Bộ Công thương, Bộ Tài chính phối hợp với các cơ quan có liên quan tổng hợp dự toán ngân sách nhà nước trình Chính phủ, báo cáo Quốc hội quyết định.</w:t>
      </w:r>
    </w:p>
    <w:p w14:paraId="486EF137" w14:textId="77777777" w:rsidR="00FF2FAB" w:rsidRDefault="00FF2FAB" w:rsidP="00FF2FA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 Quản lý, cấp phát, thanh toán</w:t>
      </w:r>
    </w:p>
    <w:p w14:paraId="6328A74A" w14:textId="77777777" w:rsidR="00FF2FAB" w:rsidRDefault="00FF2FAB" w:rsidP="00FF2F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Kinh phí hỗ trợ tiền điện cho hộ nghèo và hộ chính sách xã hội thực hiện quản lý, sử dụng theo quy định của Luật Ngân sách nhà nước và các văn bản hướng dẫn.</w:t>
      </w:r>
    </w:p>
    <w:p w14:paraId="29A6B9B2" w14:textId="77777777" w:rsidR="00FF2FAB" w:rsidRDefault="00FF2FAB" w:rsidP="00FF2F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Hàng quý, hàng năm căn cứ số hộ nghèo và hộ chính sách xã hội được hỗ trợ tiền điện sử dụng cho mục đích sinh hoạt do Ủy ban nhân dân các tỉnh, thành phố trực thuộc trung ương báo cáo; kết quả điều tra, rà soát số hộ nghèo, hộ chính sách xã hội hàng năm của Bộ Lao động - Thương binh và Xã hội công bố; số hộ chính sách xã hội có lượng điện sử dụng cho mục đích sinh hoạt trong tháng không quá 50kWh do Bộ Công thương cung cấp, Bộ Tài chính bổ sung có mục tiêu từ ngân sách trung ương cho ngân sách các tỉnh, thành phố trực thuộc trung ương để thực hiện chính sách hỗ trợ tiền điện cho hộ nghèo và hộ chính sách xã hội.</w:t>
      </w:r>
    </w:p>
    <w:p w14:paraId="7C2EA625" w14:textId="77777777" w:rsidR="00FF2FAB" w:rsidRDefault="00FF2FAB" w:rsidP="00FF2F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Trên cơ sở kinh phí bổ sung từ ngân sách trung ương và ngân sách địa phương, Sở Tài chính chủ trì phối hợp với các cơ quan liên quan báo cáo Ủy ban nhân dân cấp tỉnh trình Hội đồng nhân dân cùng cấp quyết định và phân bổ kinh phí cho các huyện.</w:t>
      </w:r>
    </w:p>
    <w:p w14:paraId="24A8DA65" w14:textId="77777777" w:rsidR="00FF2FAB" w:rsidRDefault="00FF2FAB" w:rsidP="00FF2F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nguồn kinh phí được giao, nhu cầu kinh phí hỗ trợ tiền điện trên địa bàn, Ủy ban nhân dân cấp huyện trình Hội đồng nhân dân cùng cấp quyết định và phân bổ ngân sách cho các xã, phường, thị trấn. Trường hợp quyết định bổ sung kinh phí trong năm không trùng với kỳ họp Hội đồng nhân dân, Ủy ban nhân dân cấp tỉnh, cấp huyện thống nhất với Thường trực Hội đồng nhân dân cùng cấp trước khi quyết định phân bổ kinh phí và báo cáo Hội đồng nhân dân trong kỳ họp gần nhất.</w:t>
      </w:r>
    </w:p>
    <w:p w14:paraId="7CCF1F64" w14:textId="77777777" w:rsidR="00FF2FAB" w:rsidRDefault="00FF2FAB" w:rsidP="00FF2F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Đối với địa phương thực hiện thí điểm không tổ chức Hội đồng nhân dân huyện, quận, phường, việc lập, quyết định dự toán theo hướng dẫn tại Thông tư số 63/2009/TT-BTC ngày 27 tháng 3 năm 2009 của Bộ Tài chính quy định công tác lập dự toán, tổ chức thực hiện dự toán và quyết toán ngân sách huyện, quận, phường nơi không tổ chức Hội đồng nhân dân huyện, quận, phường.</w:t>
      </w:r>
    </w:p>
    <w:p w14:paraId="30F44334" w14:textId="77777777" w:rsidR="00FF2FAB" w:rsidRDefault="00FF2FAB" w:rsidP="00FF2F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Định kỳ, trước ngày 10 tháng đầu quý, Ủy ban nhân dân xã căn cứ hộ nghèo, hộ chính sách xã hội được cấp có thẩm quyền quyết định, hóa đơn thanh toán tiền điện các tháng trong quý trước của hộ chính sách xã hội xác định hộ nghèo, hộ chính sách xã hội được hỗ trợ tiền điện và lập danh sách theo mẫu số 04-CT/HTTĐ gửi Ủy ban nhân dân cấp huyện (Phòng Lao động - Thương binh và Xã hội).</w:t>
      </w:r>
    </w:p>
    <w:p w14:paraId="25C2EFBE" w14:textId="77777777" w:rsidR="00FF2FAB" w:rsidRDefault="00FF2FAB" w:rsidP="00FF2F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Căn cứ quyết định của cấp có thẩm quyền, Ủy bannhân dân cấp xã thông báo công khai mức hỗ trợ tiền điện và danh sách từng hộ nghèo, hộ chính sách xã hội thuộc diện được hỗ trợ tiền điện theo quy định tại Thông tư số 54/2006/TT-BTC ngày 19 tháng 6 năm 2006 của Bộ Tài chính hướng dẫn thực hiện quy chế công khai hỗ trợ trực tiếp của ngân sách nhà nước đối với cá nhân, dân cư.</w:t>
      </w:r>
    </w:p>
    <w:p w14:paraId="42741B4C" w14:textId="77777777" w:rsidR="00FF2FAB" w:rsidRDefault="00FF2FAB" w:rsidP="00FF2F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Phòng Lao động - Thương binh và Xã hội căn cứ hộ nghèo, hộ chính sách xã hội được cấp có thẩm quyền quyết định, hộ gia đình có lượng điện sử dụng cho mục đích sinh hoạt các tháng không quá 50 kWh trong quý trước do Cơ quan điện lực cung cấp có trách nhiệm thẩm định, ký xác nhận vào danh sách hộ nghèo, hộ chính sách xã hội được hỗ trợ tiền điện do Ủy ban nhân dân cấp xã lập và trình Ủy ban nhân dân cấp huyện phê duyệt danh sách, kinh phí hỗ trợ tiền điện cho hộ nghèo, hộ chính sách xã hội để làm căn cứ cho Phòng Tài chính - Kế hoạch cấp kinh phí cho cấp xã thực hiện chi trả (kể cả kinh phí hỗ trợ tiền điện hộ nghèo, hộ chính sách xã hội chưa nhận kỳ trước). Ngân sách cấp huyện chuyển kinh phí vào tài khoản tiền gửi của Ủy ban nhân dân cấp xã mở tại Kho bạc Nhà nước.</w:t>
      </w:r>
    </w:p>
    <w:p w14:paraId="7B481330" w14:textId="77777777" w:rsidR="00FF2FAB" w:rsidRDefault="00FF2FAB" w:rsidP="00FF2F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Ủy ban nhân dân cấp xã: Thực hiện rút kinh phí, phân công cán bộ phụ trách Lao động - Thương binh và Xã hội, cán bộ làm công tác giảm nghèo, trưởng thôn, ấp, bản tổ chức thực hiện chi trả bằng tiền mặt trực tiếp đến từng hộ nghèo và hộ chính sách xã hội được hỗ trợ tiền điện trên địa bàn mỗi quý 1 lần và hoàn thành chi trả trước ngày 25 của tháng thứ 2 trong quý. Trường hợp quý sau căn cứ hóa đơn thanh toán tiền điện của hộ chính sách xã hội nếu vượt sản lượng điện sử dụng cho mục đích sinh hoạt (trên 50 kwh) trong tháng của quý trước, thì số tiền thanh toán cho đối tượng được hưởng điều chỉnh giảm (hoặc thu hồi) vào quý sau.</w:t>
      </w:r>
    </w:p>
    <w:p w14:paraId="17151DD0" w14:textId="77777777" w:rsidR="00FF2FAB" w:rsidRDefault="00FF2FAB" w:rsidP="00FF2F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điều kiện cụ thể của từng địa phương, Ủy ban nhân dân cấp tỉnh quyết định hình thức chi trả phù hợp và thuận lợi cho hộ gia đình (Địa điểm tập trung tại nhà văn hóa tổ dân phố, thôn, xóm hoặc tại nhà từng hộ gia đình). Số tiền hỗ trợ được cấp đủ một lần theo định mức, trực tiếp cho người nhận là chủ hộ hoặc thành viên trong hộ, trường hợp đặc biệt hộ gia đình được hỗ trợ tiền điện không có người nhận tiền trực tiếp thì viết giấy ủy quyền cho người nhận thay, người nhận tiền phải ký nhận và ghi rõ họ tên vào danh sách hộ nhận hỗ trợ tiền điện.</w:t>
      </w:r>
    </w:p>
    <w:p w14:paraId="20257454" w14:textId="77777777" w:rsidR="00FF2FAB" w:rsidRDefault="00FF2FAB" w:rsidP="00FF2F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cơ quan, đơn vị được giao thực hiện chính sách hỗ trợ tiền điện cho hộ nghèo và hộ chính sách xã hội quy địnhtại Quyết số 28/2014/QĐ-TTg phải quản lý, cấp phát, thanh toán kinh phí chặt chẽ, đảm bảo đúng mục tiêu, đúng đối tượng, theo chế độquy định. Ủy ban nhân dân cấp xã phải lập danh sách cho từng hộ gia đình ký nhận và thực hiện đầy đủ thủ tục, chứng từ theo chế độ quy định.</w:t>
      </w:r>
    </w:p>
    <w:p w14:paraId="57EC8418" w14:textId="77777777" w:rsidR="00FF2FAB" w:rsidRDefault="00FF2FAB" w:rsidP="00FF2F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7. Định kỳ hàng quý, hàng năm Ủy ban nhân dân cấp xã báo cáo theo mẫu số 05-QT/HTTĐ danh sách hộ nghèo và hộ chính sách xã hội thực chi trả, thanh toán, kết quả thực hiện quý trước trước ngày 10 của tháng đầu quý, đồng thời nộp danh sách hộ nghèo và hộ chính sách xã hội được hỗ trợ </w:t>
      </w:r>
      <w:r>
        <w:rPr>
          <w:rFonts w:ascii="Arial" w:hAnsi="Arial" w:cs="Arial"/>
          <w:color w:val="000000"/>
          <w:sz w:val="21"/>
          <w:szCs w:val="21"/>
        </w:rPr>
        <w:lastRenderedPageBreak/>
        <w:t>tiền điện mới để nhận kinh phí quý này. Số dư kinh phí tại Ủy ban nhân dân cấp xã quý, năm trước phải được thanh toán giảm trừ vào số phải trả kỳ sau; số kinh phí thiếu được cấp bổ sung vào kỳ tiếp theo.</w:t>
      </w:r>
    </w:p>
    <w:p w14:paraId="279474CC" w14:textId="77777777" w:rsidR="00FF2FAB" w:rsidRDefault="00FF2FAB" w:rsidP="00FF2F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Báo cáo gửi Ủy ban nhân dân cấp huyện, đồng gửi Phòng Tài chính - Kế hoạch, Phòng Lao động - Thương binh và Xã hội để lập báo cáo theo mẫu số 06-QT/HTTĐ gửi các cơ quan cấp tỉnh tổng hợp theo mẫu số 07-QT/HTTĐ trình Ủy ban nhân dân cấp tỉnh báo cáo Bộ Tài chính, Bộ Lao động - Thương binh và Xã hội, Bộ Công thương tình hình thực hiện chi trả hỗ trợ tiền điện cho hộ nghèo và hộ chính sách xã hội quý trước (riêng báo cáo quý IV tổng hợp cả năm) và đề nghị bổ sung kinh phí quý sau trước ngày 15 của tháng đầu quý tiếp theo.</w:t>
      </w:r>
    </w:p>
    <w:p w14:paraId="0551750E" w14:textId="77777777" w:rsidR="00FF2FAB" w:rsidRDefault="00FF2FAB" w:rsidP="00FF2FA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 Điều chỉnh, bổ sung kinh phí</w:t>
      </w:r>
    </w:p>
    <w:p w14:paraId="21043D61" w14:textId="77777777" w:rsidR="00FF2FAB" w:rsidRDefault="00FF2FAB" w:rsidP="00FF2F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Quá trình thực hiện, khi cơ quan có thẩm quyền quyết định điều chỉnh giá bán lẻ điện sinh hoạt bậc 1, số hộ nghèo và hộ chính sách xã hội được hỗ trợ tiền điện trong tỉnh, thành phố trực thuộc trung ương biến động, căn cứ vào báo cáo của Sở Lao động - Thương binh và Xã hội, Sở Tài chính báo cáo Ủy ban nhân dân cấp tỉnh thực hiện điều chỉnh kinh phí cho cấp huyện, xã để thực hiện chi trả đầy đủ, kịp thời cho các hộ nghèo và hộ chính sách xã hội.</w:t>
      </w:r>
    </w:p>
    <w:p w14:paraId="3AB37AEB" w14:textId="77777777" w:rsidR="00FF2FAB" w:rsidRDefault="00FF2FAB" w:rsidP="00FF2F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số hộ nghèo và hộ chính sách xã hội được hỗ trợ tiền điện thực hiện trong năm cao hơn số đã báo cáo, căn cứ báo cáo của Sở Lao động - Thương binh và Xã hội, Sở Tài chính báo cáo Ủy ban nhân dân cấp tỉnh tạm ứng ngân sách địa phương kịp thời chi trả hỗ trợ tiền điện cho hộ nghèo và hộ chính sách xã hội. Đồng thời, tổng hợp báo cáo Ủy ban nhân dân cấp tỉnh gửi Bộ Tài chính điều chỉnh kinh phí kỳ sau.</w:t>
      </w:r>
    </w:p>
    <w:p w14:paraId="127F6A8E" w14:textId="77777777" w:rsidR="00FF2FAB" w:rsidRDefault="00FF2FAB" w:rsidP="00FF2FA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 Kế toán, kiểm soát và quyết toán</w:t>
      </w:r>
    </w:p>
    <w:p w14:paraId="3D27939E" w14:textId="77777777" w:rsidR="00FF2FAB" w:rsidRDefault="00FF2FAB" w:rsidP="00FF2F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Kho bạc Nhà nước huyện có trách nhiệm kiểm tra, kiểm soát việc chi trả theo quy định. Hồ sơ kiểm soát chi đối với kinh phí hỗ trợ tiền điện cho hộ nghèo và hộ chính sách xã hội gồm: Danh sách các hộ nghèo và hộ chính sách xã hội được hỗ trợ tiền điện được cấp có thẩm quyền phê duyệt; Quyết định điều chỉnh hộ nghèo và hộ chính sách xã hội được hỗ trợ tiền điện của cơ quan có thẩm quyền trong năm (nếu có); Quyết định hỗ trợ tiền điện của Ủy ban nhân dân cấp huyện; Hóa đơn thanh toán tiền điện kỳ trước (bản chính) của hộ chính sách xã hội; Giấy đề nghị rút kinh phí của Ủy ban nhân dân cấp xã. Hết năm ngân sách, trước ngày 10 tháng 01 năm sau, Ủy ban nhân dân xã lập báo cáo tổng hợp kinh phí hỗ trợ tiền điện chi tiết cho từng đối tượng, từng quý gửi phòng Tài chính - Kế hoạch huyện để kiểm tra và quyết toán kinh phí theo quy định.</w:t>
      </w:r>
    </w:p>
    <w:p w14:paraId="3256D98F" w14:textId="77777777" w:rsidR="00FF2FAB" w:rsidRDefault="00FF2FAB" w:rsidP="00FF2F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Phòng Tài chính - Kế hoạch hạch toán kinh phí hỗ trợ tiền điện hộ nghèo và hộ chính sách xã hội trên địa bàn vào Chương 760, Loại 520, Khoản 528, Mục 7100, Tiểu mục 7149 và thực hiện quyết toán kinh phí hỗ trợ tiền điện cho hộ nghèo và hộ chính sách xã hội vào ngân sách cấp huyện (không quyết toán vào ngân sách cấp xã) báo cáo Ủy ban nhân dân cấp huyện, Sở Tài chính theo quy định.</w:t>
      </w:r>
    </w:p>
    <w:p w14:paraId="48E50F87" w14:textId="77777777" w:rsidR="00FF2FAB" w:rsidRDefault="00FF2FAB" w:rsidP="00FF2F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Sở Tài chính tổng hợp kinh phí hỗ trợ tiền điện cho hộ nghèo và hộ chính sách xã hội trên địa bàn vào quyết toán ngân sách địa phương, báo cáo Ủy ban nhân dân cấp tỉnh trình Hội đồng nhân dân phê chuẩn quyết toán ngân sách địa phương, gửi Bộ Tài chính để tổng hợp báo cáo quyết toán ngân sách nhà nước theo quy định của Luật Ngân sách nhà nước.</w:t>
      </w:r>
    </w:p>
    <w:p w14:paraId="169179F3" w14:textId="77777777" w:rsidR="00FF2FAB" w:rsidRDefault="00FF2FAB" w:rsidP="00FF2FA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 Tổ chức thực hiện, kiểm tra và giám sát</w:t>
      </w:r>
    </w:p>
    <w:p w14:paraId="660012D3" w14:textId="77777777" w:rsidR="00FF2FAB" w:rsidRDefault="00FF2FAB" w:rsidP="00FF2F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Bộ Tài chính chủ trì, phối hợp với Bộ Lao động - Thương binh và Xã hội, Bộ Công thương:</w:t>
      </w:r>
    </w:p>
    <w:p w14:paraId="2BDF27A8" w14:textId="77777777" w:rsidR="00FF2FAB" w:rsidRDefault="00FF2FAB" w:rsidP="00FF2F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Lập dự toán, tính toán kinh phí hỗ trợ tiền điện cho hộ nghèo và hộ chính sách xã hội được hỗ trợ tiền điện trình cấp có thẩm quyền xem xét, quyết định;</w:t>
      </w:r>
    </w:p>
    <w:p w14:paraId="2B012D4D" w14:textId="77777777" w:rsidR="00FF2FAB" w:rsidRDefault="00FF2FAB" w:rsidP="00FF2F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Giám sát, kiểm tra, thanh tra việc thực hiện chính sách hỗ trợ tiền điện cho hộ nghèo và hộ chính sách xã hội.</w:t>
      </w:r>
    </w:p>
    <w:p w14:paraId="6733B192" w14:textId="77777777" w:rsidR="00FF2FAB" w:rsidRDefault="00FF2FAB" w:rsidP="00FF2F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Tập đoàn Điện lực Việt Nam</w:t>
      </w:r>
    </w:p>
    <w:p w14:paraId="45301CA2" w14:textId="77777777" w:rsidR="00FF2FAB" w:rsidRDefault="00FF2FAB" w:rsidP="00FF2F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Hàng quý, hàng năm tổng hợp gửi Bộ Tài chính, Bộ Công thương, Bộ Lao động - Thương binh và Xã hội số hộ gia đình có lượng điện sử dụng cho mục đích sinh hoạt trong tháng không quá 50 kWh theo từng địa phương, trong đó: Số hộ chính sách xã hội, không thuộc diện hộ nghèo có lượng điện sử dụng cho mục đích sinh hoạt trong tháng không quá 50 kWh theo từng địa phương;</w:t>
      </w:r>
    </w:p>
    <w:p w14:paraId="61C75096" w14:textId="77777777" w:rsidR="00FF2FAB" w:rsidRDefault="00FF2FAB" w:rsidP="00FF2F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Ủy ban nhân dân tỉnh, thành phố trực thuộc trung ương</w:t>
      </w:r>
    </w:p>
    <w:p w14:paraId="366B6D40" w14:textId="77777777" w:rsidR="00FF2FAB" w:rsidRDefault="00FF2FAB" w:rsidP="00FF2F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Báo cáo Hội đồng nhân dân tỉnh, thành phố trực thuộc trung ương quyết định cân đối ngân sách địa phương để thực hiện hỗ trợ tiền điện cho số hộ nghèo và hộ chính sách xã hội (phần kinh phí do ngân sách địa phương đảm bảo và kinh phí hỗ trợ tiền điện cho số hộ nghèo theo chuẩn nghèo của địa phương cao hơn chuẩn hộ nghèo quốc gia). Tổ chức, chỉ đạo Ủy ban nhân dân cấp huyện, cấp xã và các cơ quan có liên quan tổ chức quyết định hộ nghèo và hộ chính sách xã hội được hỗ trợ tiền điện; thực hiện việc tiếp nhận, quản lý, chi trả, giám sát, kiểm tra, thanh tra và quyết toán kinh phí thực hiện hỗ trợ tiền điện cho hộ nghèo và hộ chính sách xã hội, đảm bảo việc chi trả kịp thời, đúng đối tượng quy định;</w:t>
      </w:r>
    </w:p>
    <w:p w14:paraId="524AF329" w14:textId="77777777" w:rsidR="00FF2FAB" w:rsidRDefault="00FF2FAB" w:rsidP="00FF2F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Chỉ đạo các sở, ban, ngành, Ủy ban nhân dân cấp huyện, các đơn vị liên quan tạo điều kiện thuận lợi để Hội đồng nhân dân, Mặt trận Tổ quốc, cơ quan đoàn thể xã hội các cấp ở địa phương, cộng đồng tham gia giám sát và phối hợp giám sát thực hiện chính sách hỗ trợ tiền điện cho hộ nghèo và hộ chính sách xã hội;</w:t>
      </w:r>
    </w:p>
    <w:p w14:paraId="205F4D9A" w14:textId="77777777" w:rsidR="00FF2FAB" w:rsidRDefault="00FF2FAB" w:rsidP="00FF2F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Hàng quý, hàng năm thực hiện báo cáo Bộ Tài chính, Bộ Lao động - Thương binh và Xã hội, Bộ Công thương số hộ nghèo và hộ chính sách xã hội được hỗ trợ tiền điện, nhu cầu kinh phí và tình hình, kết quả thực hiện chính sách hỗ trợ tiền điện cho hộ nghèo và hộ chính sách xã hội trên địa bàn.</w:t>
      </w:r>
    </w:p>
    <w:p w14:paraId="0330E165" w14:textId="77777777" w:rsidR="00FF2FAB" w:rsidRDefault="00FF2FAB" w:rsidP="00FF2F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Sở Tài chính</w:t>
      </w:r>
    </w:p>
    <w:p w14:paraId="05438802" w14:textId="77777777" w:rsidR="00FF2FAB" w:rsidRDefault="00FF2FAB" w:rsidP="00FF2F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Tiếp nhận, quản lý, kiểm tra, thanh tra và tổng hợp quyết toán kinh phí hỗ trợ tiền điện cho hộ nghèo và hộ chính sách xã hội trên địa bàn;</w:t>
      </w:r>
    </w:p>
    <w:p w14:paraId="0AC55D92" w14:textId="77777777" w:rsidR="00FF2FAB" w:rsidRDefault="00FF2FAB" w:rsidP="00FF2F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Chủ trì, phối hợp với Sở Lao động - Thương binh và Xã hội, Sở Công thương báo cáo định kỳ tình hình, kết quả và kinh phí thực hiện chính sách hỗ trợ tiền điện cho hộ nghèo và hộ chính sách xã hội trên địa bàn.</w:t>
      </w:r>
    </w:p>
    <w:p w14:paraId="50A34DEB" w14:textId="77777777" w:rsidR="00FF2FAB" w:rsidRDefault="00FF2FAB" w:rsidP="00FF2F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Sở Lao động - Thương binh và Xã hội, Sở Công thương</w:t>
      </w:r>
    </w:p>
    <w:p w14:paraId="23F1218B" w14:textId="77777777" w:rsidR="00FF2FAB" w:rsidRDefault="00FF2FAB" w:rsidP="00FF2F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Sở Lao động - Thương binh và Xã hội chủ trì, phối hợp với Sở Công thương, Cơ quan Điện lực tổng hợp số hộ nghèo và hộ chính sách xã hội được hỗ trợ tiền điện do Ủy ban nhân dân cấp huyện lập, báo cáo Ủy ban nhân dân cấp tỉnh đồng gửi Sở Tài chính;</w:t>
      </w:r>
    </w:p>
    <w:p w14:paraId="74A09707" w14:textId="77777777" w:rsidR="00FF2FAB" w:rsidRDefault="00FF2FAB" w:rsidP="00FF2F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Giám sát, kiểm tra, thanh tra quá trình triển khai thực hiện chính sách hỗ trợ tiền điện trên địa bàn;</w:t>
      </w:r>
    </w:p>
    <w:p w14:paraId="4FCED6F6" w14:textId="77777777" w:rsidR="00FF2FAB" w:rsidRDefault="00FF2FAB" w:rsidP="00FF2F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Thực hiện chế độ báo cáo định kỳ tình hình, kết quả thực hiện chính sách hỗ trợ tiền điện trên địa bàn.</w:t>
      </w:r>
    </w:p>
    <w:p w14:paraId="4D19791A" w14:textId="77777777" w:rsidR="00FF2FAB" w:rsidRDefault="00FF2FAB" w:rsidP="00FF2F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Ủy ban nhân dân cấp huyện</w:t>
      </w:r>
    </w:p>
    <w:p w14:paraId="6547BD33" w14:textId="77777777" w:rsidR="00FF2FAB" w:rsidRDefault="00FF2FAB" w:rsidP="00FF2F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Phê duyệt danh sách hộ nghèo, hộ chính sách xã hội thuộc diện được hỗ trợ tiền điện trên địa bàn, thông báo cho Ủy ban nhân dân cấp xã;</w:t>
      </w:r>
    </w:p>
    <w:p w14:paraId="0C3236CE" w14:textId="77777777" w:rsidR="00FF2FAB" w:rsidRDefault="00FF2FAB" w:rsidP="00FF2F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Chỉ đạo các cơ quan có liên quan và Ủy bannhân dân cấp xã, Kho bạc Nhà nước cấp huyện tổ chức theo dõi tình hình cấp phát, thanh toán kinh phí thực hiện chế độ, chính sách quy định tại Quyết số 28/2014/QĐ-TTg của Thủ tướng Chính phủ;</w:t>
      </w:r>
    </w:p>
    <w:p w14:paraId="7D6D382D" w14:textId="77777777" w:rsidR="00FF2FAB" w:rsidRDefault="00FF2FAB" w:rsidP="00FF2F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Hàng quý, hàng năm thực hiện báo cáo Ủy ban nhân dân cấp tỉnh, Sở Tài chính, Sở Lao động - Thương binh và xã hội, Sở Công thương số hộ nghèo và hộ chính sách xã hội được hỗ trợ tiền điện, nhu cầu kinh phí và tình hình, kết quả thực hiện chính sách hỗ trợ tiền điện cho hộ nghèo và hộ chính sách xã hội trên địa bàn.</w:t>
      </w:r>
    </w:p>
    <w:p w14:paraId="62111127" w14:textId="77777777" w:rsidR="00FF2FAB" w:rsidRDefault="00FF2FAB" w:rsidP="00FF2F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Phòng Tài chính - Kế hoạch</w:t>
      </w:r>
    </w:p>
    <w:p w14:paraId="43CBFA48" w14:textId="77777777" w:rsidR="00FF2FAB" w:rsidRDefault="00FF2FAB" w:rsidP="00FF2F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Tiếp nhận, quản lý, chi trả, kiểm tra và tổng hợp quyết toán kinh phí thực hiện hỗ trợ tiền điện trên địa bàn;</w:t>
      </w:r>
    </w:p>
    <w:p w14:paraId="034D7254" w14:textId="77777777" w:rsidR="00FF2FAB" w:rsidRDefault="00FF2FAB" w:rsidP="00FF2F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Chủ trì, phối hợp với Phòng Lao động - Thương binh và Xã hội, Phòng Công thương báo cáo định kỳ tình hình, kết quả và kinh phí thực hiện chính sách hỗ trợ tiền điện trên địa bàn.</w:t>
      </w:r>
    </w:p>
    <w:p w14:paraId="4D27AFA5" w14:textId="77777777" w:rsidR="00FF2FAB" w:rsidRDefault="00FF2FAB" w:rsidP="00FF2F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Phòng Lao động - Thương binh và Xã hội, Phòng Công thương</w:t>
      </w:r>
    </w:p>
    <w:p w14:paraId="068A3074" w14:textId="77777777" w:rsidR="00FF2FAB" w:rsidRDefault="00FF2FAB" w:rsidP="00FF2F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Phòng Lao động - Thương binh và Xã hội chủ trì, phối hợp với Phòng Công thương, Cơ quan Điện lực thẩm định danh sách hộ nghèo và hộ chính sách xã hội được hỗ trợ tiền điện do Ủy ban nhân dân cấp xã lập theo quy định. Tổng hợp, báo cáo Chủ tịch Ủy ban nhân dân cấp huyện phê duyệt danh sách hộ nghèo, hộ chính sách xã hội được hỗ trợ tiền điện trên địa bàn, đồng thời báo cáo Sở Lao động - Thương binh và Xã hội;</w:t>
      </w:r>
    </w:p>
    <w:p w14:paraId="7E717EA5" w14:textId="77777777" w:rsidR="00FF2FAB" w:rsidRDefault="00FF2FAB" w:rsidP="00FF2F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Giám sát, kiểm tra quá trình triển khai thực hiện chính sách hỗ trợ tiền điện trên địa bàn;</w:t>
      </w:r>
    </w:p>
    <w:p w14:paraId="63147C19" w14:textId="77777777" w:rsidR="00FF2FAB" w:rsidRDefault="00FF2FAB" w:rsidP="00FF2F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Thực hiện chế độ báo cáo định kỳ tình hình, kết quả thực hiện chính sách hỗ trợ tiền điện trên địa bàn.</w:t>
      </w:r>
    </w:p>
    <w:p w14:paraId="23E9A42C" w14:textId="77777777" w:rsidR="00FF2FAB" w:rsidRDefault="00FF2FAB" w:rsidP="00FF2F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Ủy ban nhân dân cấp xã</w:t>
      </w:r>
    </w:p>
    <w:p w14:paraId="554C04B3" w14:textId="77777777" w:rsidR="00FF2FAB" w:rsidRDefault="00FF2FAB" w:rsidP="00FF2F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Tiếp nhận, quản lý, chi trả kinh phí trực tiếp hỗ trợ tiền điện đến các hộ nghèo và hộ chính sách xã hội trên địa bàn đảm bảo kịp thời, đúng đối tượng và chế độ quy định;</w:t>
      </w:r>
    </w:p>
    <w:p w14:paraId="605D2343" w14:textId="77777777" w:rsidR="00FF2FAB" w:rsidRDefault="00FF2FAB" w:rsidP="00FF2F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Thường xuyên cập nhật danh sách các hộ nghèo và hộ chính sách xã hội được hỗ trợ tiền điện báo cáo Phòng Lao động - Thương binh và Xã hội để tổng hợp chung;</w:t>
      </w:r>
    </w:p>
    <w:p w14:paraId="701EB22E" w14:textId="77777777" w:rsidR="00FF2FAB" w:rsidRDefault="00FF2FAB" w:rsidP="00FF2F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Giám sát, kiểm tra quá trình chi trả hỗ trợ tiền điện trên địa bàn;</w:t>
      </w:r>
    </w:p>
    <w:p w14:paraId="64A67DAE" w14:textId="77777777" w:rsidR="00FF2FAB" w:rsidRDefault="00FF2FAB" w:rsidP="00FF2F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Thực hiện chế độ báo cáo định kỳ, đột xuất, công khai tình hình, kết quả thực hiện chính sách hỗ trợ tiền điện theo quy định.</w:t>
      </w:r>
    </w:p>
    <w:p w14:paraId="6230567F" w14:textId="77777777" w:rsidR="00FF2FAB" w:rsidRDefault="00FF2FAB" w:rsidP="00FF2FA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9. Điều khoản thi hành</w:t>
      </w:r>
    </w:p>
    <w:p w14:paraId="7373419E" w14:textId="77777777" w:rsidR="00FF2FAB" w:rsidRDefault="00FF2FAB" w:rsidP="00FF2F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Thông tư này có hiệu lực thi hành từ ngày 26 tháng 1 năm 2015 và thay thế các văn bản trước đây của Bộ Tài chính hướng dẫn chi trả kinh phí hỗ trợ tiền điện hộ nghèo.</w:t>
      </w:r>
    </w:p>
    <w:p w14:paraId="27A9316D" w14:textId="77777777" w:rsidR="00FF2FAB" w:rsidRDefault="00FF2FAB" w:rsidP="00FF2F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Các Bộ, cơ quan Trung ương, Ủy ban nhân dân các tỉnh, thành phố trực thuộc Trung ương căn cứ quy định tại Thông tư này để chỉ đạo các cơ quan, đơn vị trực thuộc và chính quyền địa phương cấp dưới tổ chức thực hiện.</w:t>
      </w:r>
    </w:p>
    <w:p w14:paraId="20D9F326" w14:textId="77777777" w:rsidR="00FF2FAB" w:rsidRDefault="00FF2FAB" w:rsidP="00FF2F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Trong quá trình tổ chức thực hiện, nếu phát sinh vướng mắc đề nghị các cơ quan, tổ chức, cá nhân phản ánh kịp thời về Bộ Tài chính để nghiên cứu, hướng dẫn bổ sung./.</w:t>
      </w:r>
    </w:p>
    <w:tbl>
      <w:tblPr>
        <w:tblW w:w="8823" w:type="dxa"/>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6471"/>
        <w:gridCol w:w="2352"/>
      </w:tblGrid>
      <w:tr w:rsidR="00FF2FAB" w14:paraId="7EFFD0A4" w14:textId="77777777" w:rsidTr="00FF2FAB">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451B665" w14:textId="77777777" w:rsidR="00FF2FAB" w:rsidRDefault="00FF2FAB" w:rsidP="00FF2FAB">
            <w:pPr>
              <w:pStyle w:val="NormalWeb"/>
              <w:spacing w:after="90" w:afterAutospacing="0" w:line="345" w:lineRule="atLeast"/>
              <w:rPr>
                <w:rFonts w:ascii="Arial" w:hAnsi="Arial" w:cs="Arial"/>
                <w:color w:val="000000"/>
                <w:sz w:val="21"/>
                <w:szCs w:val="21"/>
              </w:rPr>
            </w:pPr>
            <w:r>
              <w:rPr>
                <w:rStyle w:val="Emphasis"/>
                <w:rFonts w:ascii="Arial" w:hAnsi="Arial" w:cs="Arial"/>
                <w:b/>
                <w:bCs/>
                <w:color w:val="000000"/>
                <w:sz w:val="21"/>
                <w:szCs w:val="21"/>
              </w:rPr>
              <w:t>Nơi nhận:</w:t>
            </w:r>
            <w:r>
              <w:rPr>
                <w:rFonts w:ascii="Arial" w:hAnsi="Arial" w:cs="Arial"/>
                <w:color w:val="000000"/>
                <w:sz w:val="21"/>
                <w:szCs w:val="21"/>
              </w:rPr>
              <w:br/>
              <w:t>- Thủ tướng Chính phủ, các Phó Thủ tướng;</w:t>
            </w:r>
            <w:r>
              <w:rPr>
                <w:rFonts w:ascii="Arial" w:hAnsi="Arial" w:cs="Arial"/>
                <w:color w:val="000000"/>
                <w:sz w:val="21"/>
                <w:szCs w:val="21"/>
              </w:rPr>
              <w:br/>
              <w:t>- Văn phòng Trung ương Đảng và các Ban của Đảng;</w:t>
            </w:r>
            <w:r>
              <w:rPr>
                <w:rFonts w:ascii="Arial" w:hAnsi="Arial" w:cs="Arial"/>
                <w:color w:val="000000"/>
                <w:sz w:val="21"/>
                <w:szCs w:val="21"/>
              </w:rPr>
              <w:br/>
              <w:t>- Văn phòng Tổng Bí thư;</w:t>
            </w:r>
            <w:r>
              <w:rPr>
                <w:rFonts w:ascii="Arial" w:hAnsi="Arial" w:cs="Arial"/>
                <w:color w:val="000000"/>
                <w:sz w:val="21"/>
                <w:szCs w:val="21"/>
              </w:rPr>
              <w:br/>
              <w:t>- Văn phòng Quốc hội;</w:t>
            </w:r>
            <w:r>
              <w:rPr>
                <w:rFonts w:ascii="Arial" w:hAnsi="Arial" w:cs="Arial"/>
                <w:color w:val="000000"/>
                <w:sz w:val="21"/>
                <w:szCs w:val="21"/>
              </w:rPr>
              <w:br/>
              <w:t>- Văn phòng Chủ tịch nước;</w:t>
            </w:r>
            <w:r>
              <w:rPr>
                <w:rFonts w:ascii="Arial" w:hAnsi="Arial" w:cs="Arial"/>
                <w:color w:val="000000"/>
                <w:sz w:val="21"/>
                <w:szCs w:val="21"/>
              </w:rPr>
              <w:br/>
              <w:t>- Viện Kiểm sát nhân dân tối cao;</w:t>
            </w:r>
            <w:r>
              <w:rPr>
                <w:rFonts w:ascii="Arial" w:hAnsi="Arial" w:cs="Arial"/>
                <w:color w:val="000000"/>
                <w:sz w:val="21"/>
                <w:szCs w:val="21"/>
              </w:rPr>
              <w:br/>
              <w:t>- Tòa án nhân dân tối cao;</w:t>
            </w:r>
            <w:r>
              <w:rPr>
                <w:rFonts w:ascii="Arial" w:hAnsi="Arial" w:cs="Arial"/>
                <w:color w:val="000000"/>
                <w:sz w:val="21"/>
                <w:szCs w:val="21"/>
              </w:rPr>
              <w:br/>
              <w:t>- Kiểm toán Nhà nước;</w:t>
            </w:r>
            <w:r>
              <w:rPr>
                <w:rFonts w:ascii="Arial" w:hAnsi="Arial" w:cs="Arial"/>
                <w:color w:val="000000"/>
                <w:sz w:val="21"/>
                <w:szCs w:val="21"/>
              </w:rPr>
              <w:br/>
              <w:t>- Các Bộ, cơ quan ngang Bộ, cơ quan thuộc Chính phủ;</w:t>
            </w:r>
            <w:r>
              <w:rPr>
                <w:rFonts w:ascii="Arial" w:hAnsi="Arial" w:cs="Arial"/>
                <w:color w:val="000000"/>
                <w:sz w:val="21"/>
                <w:szCs w:val="21"/>
              </w:rPr>
              <w:br/>
              <w:t>- UBND các tỉnh, thành phố trực thuộc Trung ương;</w:t>
            </w:r>
            <w:r>
              <w:rPr>
                <w:rFonts w:ascii="Arial" w:hAnsi="Arial" w:cs="Arial"/>
                <w:color w:val="000000"/>
                <w:sz w:val="21"/>
                <w:szCs w:val="21"/>
              </w:rPr>
              <w:br/>
              <w:t>- Cơ quan Trung ương của các đoàn thể;</w:t>
            </w:r>
            <w:r>
              <w:rPr>
                <w:rFonts w:ascii="Arial" w:hAnsi="Arial" w:cs="Arial"/>
                <w:color w:val="000000"/>
                <w:sz w:val="21"/>
                <w:szCs w:val="21"/>
              </w:rPr>
              <w:br/>
              <w:t>- Tập đoàn Điện lực Việt Nam;</w:t>
            </w:r>
            <w:r>
              <w:rPr>
                <w:rFonts w:ascii="Arial" w:hAnsi="Arial" w:cs="Arial"/>
                <w:color w:val="000000"/>
                <w:sz w:val="21"/>
                <w:szCs w:val="21"/>
              </w:rPr>
              <w:br/>
              <w:t>- Sở Tài chính các tỉnh, thành phố trực thuộc Trung ương;</w:t>
            </w:r>
            <w:r>
              <w:rPr>
                <w:rFonts w:ascii="Arial" w:hAnsi="Arial" w:cs="Arial"/>
                <w:color w:val="000000"/>
                <w:sz w:val="21"/>
                <w:szCs w:val="21"/>
              </w:rPr>
              <w:br/>
              <w:t>- Sở LĐTBXH các tỉnh, thành phố trực thuộc Trung ương;</w:t>
            </w:r>
            <w:r>
              <w:rPr>
                <w:rFonts w:ascii="Arial" w:hAnsi="Arial" w:cs="Arial"/>
                <w:color w:val="000000"/>
                <w:sz w:val="21"/>
                <w:szCs w:val="21"/>
              </w:rPr>
              <w:br/>
              <w:t>- Sở Công thương các tỉnh, thành phố trực thuộc Trung ương;</w:t>
            </w:r>
            <w:r>
              <w:rPr>
                <w:rFonts w:ascii="Arial" w:hAnsi="Arial" w:cs="Arial"/>
                <w:color w:val="000000"/>
                <w:sz w:val="21"/>
                <w:szCs w:val="21"/>
              </w:rPr>
              <w:br/>
              <w:t>- Cục Kiểm tra văn bản (Bộ Tư pháp);</w:t>
            </w:r>
            <w:r>
              <w:rPr>
                <w:rFonts w:ascii="Arial" w:hAnsi="Arial" w:cs="Arial"/>
                <w:color w:val="000000"/>
                <w:sz w:val="21"/>
                <w:szCs w:val="21"/>
              </w:rPr>
              <w:br/>
              <w:t>- Các đơn vị thuộc Bộ Tài chính;</w:t>
            </w:r>
            <w:r>
              <w:rPr>
                <w:rFonts w:ascii="Arial" w:hAnsi="Arial" w:cs="Arial"/>
                <w:color w:val="000000"/>
                <w:sz w:val="21"/>
                <w:szCs w:val="21"/>
              </w:rPr>
              <w:br/>
              <w:t>- Công báo;</w:t>
            </w:r>
            <w:r>
              <w:rPr>
                <w:rFonts w:ascii="Arial" w:hAnsi="Arial" w:cs="Arial"/>
                <w:color w:val="000000"/>
                <w:sz w:val="21"/>
                <w:szCs w:val="21"/>
              </w:rPr>
              <w:br/>
              <w:t>- Cổng thông tin điện tử Chính phủ;</w:t>
            </w:r>
            <w:r>
              <w:rPr>
                <w:rFonts w:ascii="Arial" w:hAnsi="Arial" w:cs="Arial"/>
                <w:color w:val="000000"/>
                <w:sz w:val="21"/>
                <w:szCs w:val="21"/>
              </w:rPr>
              <w:br/>
              <w:t>- Cổng thông tin điện tử Bộ Tài chính;</w:t>
            </w:r>
            <w:r>
              <w:rPr>
                <w:rFonts w:ascii="Arial" w:hAnsi="Arial" w:cs="Arial"/>
                <w:color w:val="000000"/>
                <w:sz w:val="21"/>
                <w:szCs w:val="21"/>
              </w:rPr>
              <w:br/>
              <w:t>Lưu: VT, Vụ NSNN (370b).</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DCF265F" w14:textId="77777777" w:rsidR="00FF2FAB" w:rsidRDefault="00FF2FA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KT. BỘ TRƯỞNG</w:t>
            </w:r>
            <w:r>
              <w:rPr>
                <w:rFonts w:ascii="Arial" w:hAnsi="Arial" w:cs="Arial"/>
                <w:b/>
                <w:bCs/>
                <w:color w:val="000000"/>
                <w:sz w:val="21"/>
                <w:szCs w:val="21"/>
              </w:rPr>
              <w:br/>
            </w:r>
            <w:r>
              <w:rPr>
                <w:rStyle w:val="Strong"/>
                <w:rFonts w:ascii="Arial" w:hAnsi="Arial" w:cs="Arial"/>
                <w:color w:val="000000"/>
                <w:sz w:val="21"/>
                <w:szCs w:val="21"/>
              </w:rPr>
              <w:t>THỨ TRƯỞNG</w:t>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Style w:val="Strong"/>
                <w:rFonts w:ascii="Arial" w:hAnsi="Arial" w:cs="Arial"/>
                <w:color w:val="000000"/>
                <w:sz w:val="21"/>
                <w:szCs w:val="21"/>
              </w:rPr>
              <w:t>Đỗ Hoàng Anh Tuấn</w:t>
            </w:r>
          </w:p>
        </w:tc>
      </w:tr>
    </w:tbl>
    <w:p w14:paraId="2094F579" w14:textId="77777777" w:rsidR="000C691F" w:rsidRPr="00FF2FAB" w:rsidRDefault="000C691F" w:rsidP="00FF2FAB"/>
    <w:sectPr w:rsidR="000C691F" w:rsidRPr="00FF2FAB">
      <w:footerReference w:type="even" r:id="rId12"/>
      <w:footerReference w:type="default" r:id="rId13"/>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71F15B6" w14:textId="77777777" w:rsidR="00B07293" w:rsidRDefault="00B07293" w:rsidP="002341B2">
      <w:r>
        <w:separator/>
      </w:r>
    </w:p>
  </w:endnote>
  <w:endnote w:type="continuationSeparator" w:id="0">
    <w:p w14:paraId="4ED1F082" w14:textId="77777777" w:rsidR="00B07293" w:rsidRDefault="00B07293" w:rsidP="002341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2124423841"/>
      <w:docPartObj>
        <w:docPartGallery w:val="Page Numbers (Bottom of Page)"/>
        <w:docPartUnique/>
      </w:docPartObj>
    </w:sdtPr>
    <w:sdtEndPr>
      <w:rPr>
        <w:rStyle w:val="PageNumber"/>
      </w:rPr>
    </w:sdtEndPr>
    <w:sdtContent>
      <w:p w14:paraId="45721449" w14:textId="23CC0B38" w:rsidR="002341B2" w:rsidRDefault="002341B2" w:rsidP="00DB6BF2">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044AD24A" w14:textId="77777777" w:rsidR="002341B2" w:rsidRDefault="002341B2" w:rsidP="002341B2">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64641677"/>
      <w:docPartObj>
        <w:docPartGallery w:val="Page Numbers (Bottom of Page)"/>
        <w:docPartUnique/>
      </w:docPartObj>
    </w:sdtPr>
    <w:sdtEndPr>
      <w:rPr>
        <w:rStyle w:val="PageNumber"/>
      </w:rPr>
    </w:sdtEndPr>
    <w:sdtContent>
      <w:p w14:paraId="3B8B03FB" w14:textId="281D0C6D" w:rsidR="002341B2" w:rsidRDefault="002341B2" w:rsidP="00DB6BF2">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4964CFF7" w14:textId="77777777" w:rsidR="002341B2" w:rsidRDefault="002341B2" w:rsidP="002341B2">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24AA054" w14:textId="77777777" w:rsidR="00B07293" w:rsidRDefault="00B07293" w:rsidP="002341B2">
      <w:r>
        <w:separator/>
      </w:r>
    </w:p>
  </w:footnote>
  <w:footnote w:type="continuationSeparator" w:id="0">
    <w:p w14:paraId="2DD54E90" w14:textId="77777777" w:rsidR="00B07293" w:rsidRDefault="00B07293" w:rsidP="002341B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5C4AAB"/>
    <w:multiLevelType w:val="multilevel"/>
    <w:tmpl w:val="6A06DB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25A64FF"/>
    <w:multiLevelType w:val="multilevel"/>
    <w:tmpl w:val="AEB858F0"/>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2" w15:restartNumberingAfterBreak="0">
    <w:nsid w:val="032A01E6"/>
    <w:multiLevelType w:val="multilevel"/>
    <w:tmpl w:val="FEB068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47D6B3C"/>
    <w:multiLevelType w:val="multilevel"/>
    <w:tmpl w:val="4732D8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6BC0F24"/>
    <w:multiLevelType w:val="multilevel"/>
    <w:tmpl w:val="39EA51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A050F10"/>
    <w:multiLevelType w:val="multilevel"/>
    <w:tmpl w:val="0764F4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E660B29"/>
    <w:multiLevelType w:val="multilevel"/>
    <w:tmpl w:val="9072DE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0FCA7E85"/>
    <w:multiLevelType w:val="multilevel"/>
    <w:tmpl w:val="EAF0A5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1192B69"/>
    <w:multiLevelType w:val="multilevel"/>
    <w:tmpl w:val="2C26F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45C3379"/>
    <w:multiLevelType w:val="multilevel"/>
    <w:tmpl w:val="CED0AA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9150374"/>
    <w:multiLevelType w:val="multilevel"/>
    <w:tmpl w:val="721E7E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1F7176AB"/>
    <w:multiLevelType w:val="multilevel"/>
    <w:tmpl w:val="A9FE13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1FB5298A"/>
    <w:multiLevelType w:val="multilevel"/>
    <w:tmpl w:val="A0626C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1FCC1E82"/>
    <w:multiLevelType w:val="multilevel"/>
    <w:tmpl w:val="3372F7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4BA2F42"/>
    <w:multiLevelType w:val="multilevel"/>
    <w:tmpl w:val="76AAB9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278E3EBB"/>
    <w:multiLevelType w:val="multilevel"/>
    <w:tmpl w:val="8D9879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29642734"/>
    <w:multiLevelType w:val="multilevel"/>
    <w:tmpl w:val="7E04F1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BBF0C2A"/>
    <w:multiLevelType w:val="multilevel"/>
    <w:tmpl w:val="C1A8F0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32B46FF6"/>
    <w:multiLevelType w:val="multilevel"/>
    <w:tmpl w:val="0D90B3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337A1F68"/>
    <w:multiLevelType w:val="multilevel"/>
    <w:tmpl w:val="FC9453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33DA77F5"/>
    <w:multiLevelType w:val="multilevel"/>
    <w:tmpl w:val="86EA55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33E52409"/>
    <w:multiLevelType w:val="multilevel"/>
    <w:tmpl w:val="29C844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3A382F1C"/>
    <w:multiLevelType w:val="multilevel"/>
    <w:tmpl w:val="E6468D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405B35C8"/>
    <w:multiLevelType w:val="multilevel"/>
    <w:tmpl w:val="0F1030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43927ED0"/>
    <w:multiLevelType w:val="multilevel"/>
    <w:tmpl w:val="6C2C6E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45BD2555"/>
    <w:multiLevelType w:val="multilevel"/>
    <w:tmpl w:val="B1C8F6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587A0692"/>
    <w:multiLevelType w:val="multilevel"/>
    <w:tmpl w:val="8CC605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66A64400"/>
    <w:multiLevelType w:val="multilevel"/>
    <w:tmpl w:val="CD1C3C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685666E7"/>
    <w:multiLevelType w:val="multilevel"/>
    <w:tmpl w:val="D6F409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69DB462C"/>
    <w:multiLevelType w:val="multilevel"/>
    <w:tmpl w:val="B22CF2A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6DB61DB4"/>
    <w:multiLevelType w:val="multilevel"/>
    <w:tmpl w:val="5E925E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740E16F1"/>
    <w:multiLevelType w:val="multilevel"/>
    <w:tmpl w:val="8D56AF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76847788"/>
    <w:multiLevelType w:val="multilevel"/>
    <w:tmpl w:val="BD32DE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7A641B1C"/>
    <w:multiLevelType w:val="multilevel"/>
    <w:tmpl w:val="53A67E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7B7C289B"/>
    <w:multiLevelType w:val="multilevel"/>
    <w:tmpl w:val="E8D259D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7C843272"/>
    <w:multiLevelType w:val="multilevel"/>
    <w:tmpl w:val="D7B858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7CE003E8"/>
    <w:multiLevelType w:val="multilevel"/>
    <w:tmpl w:val="217023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7D6E4757"/>
    <w:multiLevelType w:val="multilevel"/>
    <w:tmpl w:val="5530A1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7DE92E5C"/>
    <w:multiLevelType w:val="multilevel"/>
    <w:tmpl w:val="568485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16"/>
  </w:num>
  <w:num w:numId="3">
    <w:abstractNumId w:val="31"/>
  </w:num>
  <w:num w:numId="4">
    <w:abstractNumId w:val="7"/>
  </w:num>
  <w:num w:numId="5">
    <w:abstractNumId w:val="13"/>
  </w:num>
  <w:num w:numId="6">
    <w:abstractNumId w:val="5"/>
  </w:num>
  <w:num w:numId="7">
    <w:abstractNumId w:val="30"/>
  </w:num>
  <w:num w:numId="8">
    <w:abstractNumId w:val="9"/>
  </w:num>
  <w:num w:numId="9">
    <w:abstractNumId w:val="38"/>
  </w:num>
  <w:num w:numId="10">
    <w:abstractNumId w:val="22"/>
  </w:num>
  <w:num w:numId="11">
    <w:abstractNumId w:val="20"/>
  </w:num>
  <w:num w:numId="12">
    <w:abstractNumId w:val="10"/>
  </w:num>
  <w:num w:numId="13">
    <w:abstractNumId w:val="35"/>
  </w:num>
  <w:num w:numId="14">
    <w:abstractNumId w:val="25"/>
  </w:num>
  <w:num w:numId="15">
    <w:abstractNumId w:val="27"/>
  </w:num>
  <w:num w:numId="16">
    <w:abstractNumId w:val="33"/>
  </w:num>
  <w:num w:numId="17">
    <w:abstractNumId w:val="28"/>
  </w:num>
  <w:num w:numId="18">
    <w:abstractNumId w:val="3"/>
  </w:num>
  <w:num w:numId="19">
    <w:abstractNumId w:val="21"/>
  </w:num>
  <w:num w:numId="20">
    <w:abstractNumId w:val="12"/>
  </w:num>
  <w:num w:numId="21">
    <w:abstractNumId w:val="23"/>
  </w:num>
  <w:num w:numId="22">
    <w:abstractNumId w:val="14"/>
  </w:num>
  <w:num w:numId="23">
    <w:abstractNumId w:val="17"/>
  </w:num>
  <w:num w:numId="24">
    <w:abstractNumId w:val="8"/>
  </w:num>
  <w:num w:numId="25">
    <w:abstractNumId w:val="15"/>
  </w:num>
  <w:num w:numId="26">
    <w:abstractNumId w:val="29"/>
  </w:num>
  <w:num w:numId="27">
    <w:abstractNumId w:val="19"/>
  </w:num>
  <w:num w:numId="28">
    <w:abstractNumId w:val="37"/>
  </w:num>
  <w:num w:numId="29">
    <w:abstractNumId w:val="6"/>
  </w:num>
  <w:num w:numId="30">
    <w:abstractNumId w:val="11"/>
  </w:num>
  <w:num w:numId="31">
    <w:abstractNumId w:val="0"/>
  </w:num>
  <w:num w:numId="32">
    <w:abstractNumId w:val="36"/>
  </w:num>
  <w:num w:numId="33">
    <w:abstractNumId w:val="26"/>
  </w:num>
  <w:num w:numId="34">
    <w:abstractNumId w:val="2"/>
  </w:num>
  <w:num w:numId="35">
    <w:abstractNumId w:val="4"/>
  </w:num>
  <w:num w:numId="36">
    <w:abstractNumId w:val="24"/>
  </w:num>
  <w:num w:numId="37">
    <w:abstractNumId w:val="32"/>
  </w:num>
  <w:num w:numId="38">
    <w:abstractNumId w:val="34"/>
  </w:num>
  <w:num w:numId="39">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grammar="clean"/>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19EC"/>
    <w:rsid w:val="00001E29"/>
    <w:rsid w:val="0000359E"/>
    <w:rsid w:val="0000492F"/>
    <w:rsid w:val="0001647A"/>
    <w:rsid w:val="000235B9"/>
    <w:rsid w:val="00032956"/>
    <w:rsid w:val="00032C49"/>
    <w:rsid w:val="00034733"/>
    <w:rsid w:val="000367C5"/>
    <w:rsid w:val="000571CB"/>
    <w:rsid w:val="00082A5E"/>
    <w:rsid w:val="000953BF"/>
    <w:rsid w:val="000A1796"/>
    <w:rsid w:val="000B192E"/>
    <w:rsid w:val="000B569B"/>
    <w:rsid w:val="000B5D69"/>
    <w:rsid w:val="000C0DEB"/>
    <w:rsid w:val="000C3403"/>
    <w:rsid w:val="000C49A2"/>
    <w:rsid w:val="000C646B"/>
    <w:rsid w:val="000C691F"/>
    <w:rsid w:val="000C6C5A"/>
    <w:rsid w:val="000C6E6E"/>
    <w:rsid w:val="000E2D72"/>
    <w:rsid w:val="000E4039"/>
    <w:rsid w:val="001072C9"/>
    <w:rsid w:val="00111C2B"/>
    <w:rsid w:val="001128EA"/>
    <w:rsid w:val="0011292B"/>
    <w:rsid w:val="00117478"/>
    <w:rsid w:val="00123D72"/>
    <w:rsid w:val="001423E7"/>
    <w:rsid w:val="001447B5"/>
    <w:rsid w:val="0016101F"/>
    <w:rsid w:val="00164A23"/>
    <w:rsid w:val="00194A32"/>
    <w:rsid w:val="00196725"/>
    <w:rsid w:val="001A2815"/>
    <w:rsid w:val="001B0672"/>
    <w:rsid w:val="001B4E00"/>
    <w:rsid w:val="001C740B"/>
    <w:rsid w:val="001D0989"/>
    <w:rsid w:val="001D351E"/>
    <w:rsid w:val="001D7C8D"/>
    <w:rsid w:val="001E2096"/>
    <w:rsid w:val="001E2A0A"/>
    <w:rsid w:val="0020069E"/>
    <w:rsid w:val="00201DAD"/>
    <w:rsid w:val="002111BC"/>
    <w:rsid w:val="00216262"/>
    <w:rsid w:val="00217875"/>
    <w:rsid w:val="00217D54"/>
    <w:rsid w:val="00221A53"/>
    <w:rsid w:val="002341B2"/>
    <w:rsid w:val="00234359"/>
    <w:rsid w:val="002362BA"/>
    <w:rsid w:val="0025244F"/>
    <w:rsid w:val="00253693"/>
    <w:rsid w:val="002575F3"/>
    <w:rsid w:val="00260AF0"/>
    <w:rsid w:val="0026195B"/>
    <w:rsid w:val="002650A1"/>
    <w:rsid w:val="0027706E"/>
    <w:rsid w:val="00292EA9"/>
    <w:rsid w:val="00294A88"/>
    <w:rsid w:val="002D05D2"/>
    <w:rsid w:val="002D364F"/>
    <w:rsid w:val="002E1D6D"/>
    <w:rsid w:val="0030121C"/>
    <w:rsid w:val="003150B5"/>
    <w:rsid w:val="00317D0E"/>
    <w:rsid w:val="00326293"/>
    <w:rsid w:val="003407C5"/>
    <w:rsid w:val="00341C14"/>
    <w:rsid w:val="00342119"/>
    <w:rsid w:val="003466C3"/>
    <w:rsid w:val="00357365"/>
    <w:rsid w:val="00363613"/>
    <w:rsid w:val="00370E72"/>
    <w:rsid w:val="00374576"/>
    <w:rsid w:val="0038228A"/>
    <w:rsid w:val="0038594F"/>
    <w:rsid w:val="003904E9"/>
    <w:rsid w:val="003A1C71"/>
    <w:rsid w:val="003A2738"/>
    <w:rsid w:val="003A3463"/>
    <w:rsid w:val="003A42BA"/>
    <w:rsid w:val="003B03EF"/>
    <w:rsid w:val="003C058E"/>
    <w:rsid w:val="003C36C1"/>
    <w:rsid w:val="003C5FD3"/>
    <w:rsid w:val="003D2F8B"/>
    <w:rsid w:val="003E605F"/>
    <w:rsid w:val="003F4BB5"/>
    <w:rsid w:val="00412BF6"/>
    <w:rsid w:val="00420FA8"/>
    <w:rsid w:val="00423207"/>
    <w:rsid w:val="00425FA7"/>
    <w:rsid w:val="00426429"/>
    <w:rsid w:val="00434F05"/>
    <w:rsid w:val="00451900"/>
    <w:rsid w:val="00472ADB"/>
    <w:rsid w:val="004808AC"/>
    <w:rsid w:val="004824B8"/>
    <w:rsid w:val="00485FB3"/>
    <w:rsid w:val="0049695C"/>
    <w:rsid w:val="004C1CCB"/>
    <w:rsid w:val="004C6C67"/>
    <w:rsid w:val="004C76FA"/>
    <w:rsid w:val="004C7713"/>
    <w:rsid w:val="004D1097"/>
    <w:rsid w:val="004D4DAE"/>
    <w:rsid w:val="004E43DE"/>
    <w:rsid w:val="004E6D91"/>
    <w:rsid w:val="004F19EC"/>
    <w:rsid w:val="004F2525"/>
    <w:rsid w:val="004F6441"/>
    <w:rsid w:val="005262D4"/>
    <w:rsid w:val="00533E21"/>
    <w:rsid w:val="00536E51"/>
    <w:rsid w:val="0054422E"/>
    <w:rsid w:val="005472D9"/>
    <w:rsid w:val="005519CF"/>
    <w:rsid w:val="00551E50"/>
    <w:rsid w:val="0055342E"/>
    <w:rsid w:val="00554F90"/>
    <w:rsid w:val="00555FC1"/>
    <w:rsid w:val="00557230"/>
    <w:rsid w:val="00557408"/>
    <w:rsid w:val="00562361"/>
    <w:rsid w:val="00563D2F"/>
    <w:rsid w:val="005652EC"/>
    <w:rsid w:val="00573C0D"/>
    <w:rsid w:val="00596F39"/>
    <w:rsid w:val="005A3857"/>
    <w:rsid w:val="005B18A7"/>
    <w:rsid w:val="005B1A6D"/>
    <w:rsid w:val="005B25EE"/>
    <w:rsid w:val="005B4EA3"/>
    <w:rsid w:val="005B5889"/>
    <w:rsid w:val="005C059B"/>
    <w:rsid w:val="005D0022"/>
    <w:rsid w:val="005E41AE"/>
    <w:rsid w:val="005E4567"/>
    <w:rsid w:val="005E4C0C"/>
    <w:rsid w:val="005F29E6"/>
    <w:rsid w:val="005F3B5D"/>
    <w:rsid w:val="005F3F42"/>
    <w:rsid w:val="005F422E"/>
    <w:rsid w:val="005F5FE8"/>
    <w:rsid w:val="005F6470"/>
    <w:rsid w:val="005F7075"/>
    <w:rsid w:val="0061426B"/>
    <w:rsid w:val="0063472A"/>
    <w:rsid w:val="0063616F"/>
    <w:rsid w:val="006437B9"/>
    <w:rsid w:val="00657BFB"/>
    <w:rsid w:val="00663303"/>
    <w:rsid w:val="00666921"/>
    <w:rsid w:val="006703F0"/>
    <w:rsid w:val="00683C32"/>
    <w:rsid w:val="00690704"/>
    <w:rsid w:val="006928DB"/>
    <w:rsid w:val="006A3359"/>
    <w:rsid w:val="006A41DA"/>
    <w:rsid w:val="006A4A03"/>
    <w:rsid w:val="006B0E93"/>
    <w:rsid w:val="006D1466"/>
    <w:rsid w:val="006F0CBE"/>
    <w:rsid w:val="006F6C14"/>
    <w:rsid w:val="006F799A"/>
    <w:rsid w:val="007109D9"/>
    <w:rsid w:val="00711742"/>
    <w:rsid w:val="007166A1"/>
    <w:rsid w:val="00720421"/>
    <w:rsid w:val="00723A77"/>
    <w:rsid w:val="00725A0E"/>
    <w:rsid w:val="00731FBD"/>
    <w:rsid w:val="00741544"/>
    <w:rsid w:val="007471A7"/>
    <w:rsid w:val="00760DD1"/>
    <w:rsid w:val="00761828"/>
    <w:rsid w:val="0076416F"/>
    <w:rsid w:val="00770231"/>
    <w:rsid w:val="0077126E"/>
    <w:rsid w:val="007715AB"/>
    <w:rsid w:val="007737E0"/>
    <w:rsid w:val="0078181B"/>
    <w:rsid w:val="007824C0"/>
    <w:rsid w:val="00790170"/>
    <w:rsid w:val="00797BD5"/>
    <w:rsid w:val="007A3960"/>
    <w:rsid w:val="007B7DC9"/>
    <w:rsid w:val="007D2922"/>
    <w:rsid w:val="007D729A"/>
    <w:rsid w:val="007E0FDF"/>
    <w:rsid w:val="007E1891"/>
    <w:rsid w:val="007E2E73"/>
    <w:rsid w:val="007F3EF0"/>
    <w:rsid w:val="007F4565"/>
    <w:rsid w:val="00810426"/>
    <w:rsid w:val="008136D2"/>
    <w:rsid w:val="008233C7"/>
    <w:rsid w:val="0082482A"/>
    <w:rsid w:val="00825BCC"/>
    <w:rsid w:val="00830279"/>
    <w:rsid w:val="008368A1"/>
    <w:rsid w:val="00837FD8"/>
    <w:rsid w:val="00842636"/>
    <w:rsid w:val="00843191"/>
    <w:rsid w:val="00844359"/>
    <w:rsid w:val="00851287"/>
    <w:rsid w:val="0086477E"/>
    <w:rsid w:val="008A2AC3"/>
    <w:rsid w:val="008C1BFD"/>
    <w:rsid w:val="008C2596"/>
    <w:rsid w:val="008C57F4"/>
    <w:rsid w:val="008E4830"/>
    <w:rsid w:val="008E56AD"/>
    <w:rsid w:val="008F2B3E"/>
    <w:rsid w:val="00902056"/>
    <w:rsid w:val="00903B82"/>
    <w:rsid w:val="00926DA4"/>
    <w:rsid w:val="00927BCD"/>
    <w:rsid w:val="009356F8"/>
    <w:rsid w:val="009363D4"/>
    <w:rsid w:val="00943E76"/>
    <w:rsid w:val="009442B1"/>
    <w:rsid w:val="00947347"/>
    <w:rsid w:val="00950175"/>
    <w:rsid w:val="00951E82"/>
    <w:rsid w:val="0095592C"/>
    <w:rsid w:val="009602CC"/>
    <w:rsid w:val="0097285F"/>
    <w:rsid w:val="0098583A"/>
    <w:rsid w:val="009A3826"/>
    <w:rsid w:val="009B2EAC"/>
    <w:rsid w:val="009B4D7F"/>
    <w:rsid w:val="009C5698"/>
    <w:rsid w:val="009C7D51"/>
    <w:rsid w:val="009D1D34"/>
    <w:rsid w:val="009D6E81"/>
    <w:rsid w:val="009E05EC"/>
    <w:rsid w:val="009E495E"/>
    <w:rsid w:val="009F2E51"/>
    <w:rsid w:val="00A0543C"/>
    <w:rsid w:val="00A12672"/>
    <w:rsid w:val="00A22854"/>
    <w:rsid w:val="00A26E3B"/>
    <w:rsid w:val="00A3095B"/>
    <w:rsid w:val="00A41421"/>
    <w:rsid w:val="00A436D3"/>
    <w:rsid w:val="00A500B7"/>
    <w:rsid w:val="00A5060E"/>
    <w:rsid w:val="00A5118E"/>
    <w:rsid w:val="00A53439"/>
    <w:rsid w:val="00A54CFE"/>
    <w:rsid w:val="00A564AB"/>
    <w:rsid w:val="00A61F13"/>
    <w:rsid w:val="00A63147"/>
    <w:rsid w:val="00A64021"/>
    <w:rsid w:val="00A65685"/>
    <w:rsid w:val="00A66AE2"/>
    <w:rsid w:val="00A704E1"/>
    <w:rsid w:val="00A71C4C"/>
    <w:rsid w:val="00A744EE"/>
    <w:rsid w:val="00A80B87"/>
    <w:rsid w:val="00A933F8"/>
    <w:rsid w:val="00A955CB"/>
    <w:rsid w:val="00AA1B8B"/>
    <w:rsid w:val="00AA2785"/>
    <w:rsid w:val="00AB38D8"/>
    <w:rsid w:val="00AB583E"/>
    <w:rsid w:val="00AB7ED2"/>
    <w:rsid w:val="00AC1233"/>
    <w:rsid w:val="00AD47A2"/>
    <w:rsid w:val="00AD510C"/>
    <w:rsid w:val="00AE2FA1"/>
    <w:rsid w:val="00AE5925"/>
    <w:rsid w:val="00AE6849"/>
    <w:rsid w:val="00B0005B"/>
    <w:rsid w:val="00B01DDD"/>
    <w:rsid w:val="00B07293"/>
    <w:rsid w:val="00B15435"/>
    <w:rsid w:val="00B20AD7"/>
    <w:rsid w:val="00B27F53"/>
    <w:rsid w:val="00B30BCA"/>
    <w:rsid w:val="00B4578B"/>
    <w:rsid w:val="00B61401"/>
    <w:rsid w:val="00B77555"/>
    <w:rsid w:val="00B82FF1"/>
    <w:rsid w:val="00B86EA0"/>
    <w:rsid w:val="00B919C7"/>
    <w:rsid w:val="00BB3DE5"/>
    <w:rsid w:val="00BC380D"/>
    <w:rsid w:val="00BE426A"/>
    <w:rsid w:val="00BE46B8"/>
    <w:rsid w:val="00BE52A9"/>
    <w:rsid w:val="00BF1EA4"/>
    <w:rsid w:val="00C057F7"/>
    <w:rsid w:val="00C108C9"/>
    <w:rsid w:val="00C110F6"/>
    <w:rsid w:val="00C2324A"/>
    <w:rsid w:val="00C23E36"/>
    <w:rsid w:val="00C419B0"/>
    <w:rsid w:val="00C5205B"/>
    <w:rsid w:val="00C553E8"/>
    <w:rsid w:val="00C56DDF"/>
    <w:rsid w:val="00C63D07"/>
    <w:rsid w:val="00C63D43"/>
    <w:rsid w:val="00C74E8B"/>
    <w:rsid w:val="00C92923"/>
    <w:rsid w:val="00C94D86"/>
    <w:rsid w:val="00C9552E"/>
    <w:rsid w:val="00CA02C8"/>
    <w:rsid w:val="00CA793D"/>
    <w:rsid w:val="00CB285D"/>
    <w:rsid w:val="00CB4E9D"/>
    <w:rsid w:val="00CB6A51"/>
    <w:rsid w:val="00CD1F2A"/>
    <w:rsid w:val="00CE212C"/>
    <w:rsid w:val="00CF071E"/>
    <w:rsid w:val="00CF0F11"/>
    <w:rsid w:val="00CF3F3C"/>
    <w:rsid w:val="00D00F46"/>
    <w:rsid w:val="00D01A0A"/>
    <w:rsid w:val="00D02D05"/>
    <w:rsid w:val="00D073B2"/>
    <w:rsid w:val="00D15E19"/>
    <w:rsid w:val="00D21A8B"/>
    <w:rsid w:val="00D24FBD"/>
    <w:rsid w:val="00D265B9"/>
    <w:rsid w:val="00D267F6"/>
    <w:rsid w:val="00D30CC3"/>
    <w:rsid w:val="00D36F13"/>
    <w:rsid w:val="00D50BC2"/>
    <w:rsid w:val="00D53143"/>
    <w:rsid w:val="00D56D0B"/>
    <w:rsid w:val="00D602F3"/>
    <w:rsid w:val="00D6282E"/>
    <w:rsid w:val="00D81F21"/>
    <w:rsid w:val="00D9278E"/>
    <w:rsid w:val="00D92EDC"/>
    <w:rsid w:val="00D94A94"/>
    <w:rsid w:val="00DA50B3"/>
    <w:rsid w:val="00DB03C3"/>
    <w:rsid w:val="00DB5F4C"/>
    <w:rsid w:val="00DC5771"/>
    <w:rsid w:val="00DD049D"/>
    <w:rsid w:val="00DD068A"/>
    <w:rsid w:val="00DD36E8"/>
    <w:rsid w:val="00DD5245"/>
    <w:rsid w:val="00DE41AC"/>
    <w:rsid w:val="00DE6DB7"/>
    <w:rsid w:val="00DF1952"/>
    <w:rsid w:val="00E0397E"/>
    <w:rsid w:val="00E03A26"/>
    <w:rsid w:val="00E10B4D"/>
    <w:rsid w:val="00E161A1"/>
    <w:rsid w:val="00E45424"/>
    <w:rsid w:val="00E45876"/>
    <w:rsid w:val="00E531BC"/>
    <w:rsid w:val="00E54E24"/>
    <w:rsid w:val="00E562F1"/>
    <w:rsid w:val="00E6575C"/>
    <w:rsid w:val="00E7520C"/>
    <w:rsid w:val="00E80192"/>
    <w:rsid w:val="00E8641D"/>
    <w:rsid w:val="00E96658"/>
    <w:rsid w:val="00EB33B9"/>
    <w:rsid w:val="00EB517D"/>
    <w:rsid w:val="00EC43B1"/>
    <w:rsid w:val="00ED5F85"/>
    <w:rsid w:val="00ED7705"/>
    <w:rsid w:val="00ED7F4D"/>
    <w:rsid w:val="00EE0AC7"/>
    <w:rsid w:val="00EE7922"/>
    <w:rsid w:val="00EF1AD5"/>
    <w:rsid w:val="00EF55D1"/>
    <w:rsid w:val="00F06563"/>
    <w:rsid w:val="00F10ED9"/>
    <w:rsid w:val="00F276A1"/>
    <w:rsid w:val="00F33C73"/>
    <w:rsid w:val="00F46695"/>
    <w:rsid w:val="00F50FEC"/>
    <w:rsid w:val="00F53294"/>
    <w:rsid w:val="00F536C1"/>
    <w:rsid w:val="00F578D7"/>
    <w:rsid w:val="00F63AA1"/>
    <w:rsid w:val="00F71FC9"/>
    <w:rsid w:val="00F85BF8"/>
    <w:rsid w:val="00F909EF"/>
    <w:rsid w:val="00F90AF7"/>
    <w:rsid w:val="00F9299B"/>
    <w:rsid w:val="00F930FC"/>
    <w:rsid w:val="00F94125"/>
    <w:rsid w:val="00F94343"/>
    <w:rsid w:val="00FA1D72"/>
    <w:rsid w:val="00FD13A2"/>
    <w:rsid w:val="00FD25C4"/>
    <w:rsid w:val="00FD2C56"/>
    <w:rsid w:val="00FE0734"/>
    <w:rsid w:val="00FE498A"/>
    <w:rsid w:val="00FE51B1"/>
    <w:rsid w:val="00FF1046"/>
    <w:rsid w:val="00FF2FAB"/>
    <w:rsid w:val="00FF557A"/>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82C66D"/>
  <w15:chartTrackingRefBased/>
  <w15:docId w15:val="{C8BCE1C1-5857-754B-9D80-1B44701F4C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278E"/>
    <w:pPr>
      <w:spacing w:before="0" w:after="0"/>
      <w:ind w:firstLine="0"/>
    </w:pPr>
    <w:rPr>
      <w:rFonts w:eastAsia="Times New Roman" w:cs="Times New Roman"/>
      <w:sz w:val="24"/>
    </w:rPr>
  </w:style>
  <w:style w:type="paragraph" w:styleId="Heading2">
    <w:name w:val="heading 2"/>
    <w:basedOn w:val="Normal"/>
    <w:link w:val="Heading2Char"/>
    <w:uiPriority w:val="9"/>
    <w:qFormat/>
    <w:rsid w:val="00292EA9"/>
    <w:pPr>
      <w:spacing w:before="100" w:beforeAutospacing="1" w:after="100" w:afterAutospacing="1"/>
      <w:outlineLvl w:val="1"/>
    </w:pPr>
    <w:rPr>
      <w:b/>
      <w:bCs/>
      <w:sz w:val="36"/>
      <w:szCs w:val="36"/>
    </w:rPr>
  </w:style>
  <w:style w:type="paragraph" w:styleId="Heading3">
    <w:name w:val="heading 3"/>
    <w:basedOn w:val="Normal"/>
    <w:link w:val="Heading3Char"/>
    <w:uiPriority w:val="9"/>
    <w:qFormat/>
    <w:rsid w:val="00317D0E"/>
    <w:pPr>
      <w:spacing w:before="100" w:beforeAutospacing="1" w:after="100" w:afterAutospacing="1"/>
      <w:outlineLvl w:val="2"/>
    </w:pPr>
    <w:rPr>
      <w:b/>
      <w:bCs/>
      <w:sz w:val="27"/>
      <w:szCs w:val="27"/>
    </w:rPr>
  </w:style>
  <w:style w:type="paragraph" w:styleId="Heading4">
    <w:name w:val="heading 4"/>
    <w:basedOn w:val="Normal"/>
    <w:next w:val="Normal"/>
    <w:link w:val="Heading4Char"/>
    <w:uiPriority w:val="9"/>
    <w:unhideWhenUsed/>
    <w:qFormat/>
    <w:rsid w:val="00B27F53"/>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4F19EC"/>
    <w:pPr>
      <w:spacing w:before="100" w:beforeAutospacing="1" w:after="100" w:afterAutospacing="1"/>
    </w:pPr>
  </w:style>
  <w:style w:type="character" w:styleId="Strong">
    <w:name w:val="Strong"/>
    <w:basedOn w:val="DefaultParagraphFont"/>
    <w:uiPriority w:val="22"/>
    <w:qFormat/>
    <w:rsid w:val="004F19EC"/>
    <w:rPr>
      <w:b/>
      <w:bCs/>
    </w:rPr>
  </w:style>
  <w:style w:type="character" w:styleId="Emphasis">
    <w:name w:val="Emphasis"/>
    <w:basedOn w:val="DefaultParagraphFont"/>
    <w:uiPriority w:val="20"/>
    <w:qFormat/>
    <w:rsid w:val="004F19EC"/>
    <w:rPr>
      <w:i/>
      <w:iCs/>
    </w:rPr>
  </w:style>
  <w:style w:type="character" w:styleId="Hyperlink">
    <w:name w:val="Hyperlink"/>
    <w:basedOn w:val="DefaultParagraphFont"/>
    <w:uiPriority w:val="99"/>
    <w:semiHidden/>
    <w:unhideWhenUsed/>
    <w:rsid w:val="004F19EC"/>
    <w:rPr>
      <w:color w:val="0000FF"/>
      <w:u w:val="single"/>
    </w:rPr>
  </w:style>
  <w:style w:type="paragraph" w:customStyle="1" w:styleId="msonormal0">
    <w:name w:val="msonormal"/>
    <w:basedOn w:val="Normal"/>
    <w:rsid w:val="00412BF6"/>
    <w:pPr>
      <w:spacing w:before="100" w:beforeAutospacing="1" w:after="100" w:afterAutospacing="1"/>
    </w:pPr>
  </w:style>
  <w:style w:type="character" w:styleId="FollowedHyperlink">
    <w:name w:val="FollowedHyperlink"/>
    <w:basedOn w:val="DefaultParagraphFont"/>
    <w:uiPriority w:val="99"/>
    <w:semiHidden/>
    <w:unhideWhenUsed/>
    <w:rsid w:val="00412BF6"/>
    <w:rPr>
      <w:color w:val="800080"/>
      <w:u w:val="single"/>
    </w:rPr>
  </w:style>
  <w:style w:type="character" w:customStyle="1" w:styleId="Heading2Char">
    <w:name w:val="Heading 2 Char"/>
    <w:basedOn w:val="DefaultParagraphFont"/>
    <w:link w:val="Heading2"/>
    <w:uiPriority w:val="9"/>
    <w:rsid w:val="00292EA9"/>
    <w:rPr>
      <w:rFonts w:eastAsia="Times New Roman" w:cs="Times New Roman"/>
      <w:b/>
      <w:bCs/>
      <w:sz w:val="36"/>
      <w:szCs w:val="36"/>
    </w:rPr>
  </w:style>
  <w:style w:type="character" w:styleId="CommentReference">
    <w:name w:val="annotation reference"/>
    <w:basedOn w:val="DefaultParagraphFont"/>
    <w:uiPriority w:val="99"/>
    <w:semiHidden/>
    <w:unhideWhenUsed/>
    <w:rsid w:val="00533E21"/>
    <w:rPr>
      <w:sz w:val="16"/>
      <w:szCs w:val="16"/>
    </w:rPr>
  </w:style>
  <w:style w:type="paragraph" w:styleId="CommentText">
    <w:name w:val="annotation text"/>
    <w:basedOn w:val="Normal"/>
    <w:link w:val="CommentTextChar"/>
    <w:uiPriority w:val="99"/>
    <w:semiHidden/>
    <w:unhideWhenUsed/>
    <w:rsid w:val="00533E21"/>
    <w:pPr>
      <w:spacing w:before="120" w:after="120"/>
      <w:ind w:firstLine="720"/>
    </w:pPr>
    <w:rPr>
      <w:rFonts w:eastAsiaTheme="minorHAnsi" w:cs="Times New Roman (Body CS)"/>
      <w:sz w:val="20"/>
      <w:szCs w:val="20"/>
    </w:rPr>
  </w:style>
  <w:style w:type="character" w:customStyle="1" w:styleId="CommentTextChar">
    <w:name w:val="Comment Text Char"/>
    <w:basedOn w:val="DefaultParagraphFont"/>
    <w:link w:val="CommentText"/>
    <w:uiPriority w:val="99"/>
    <w:semiHidden/>
    <w:rsid w:val="00533E21"/>
    <w:rPr>
      <w:sz w:val="20"/>
      <w:szCs w:val="20"/>
    </w:rPr>
  </w:style>
  <w:style w:type="paragraph" w:styleId="CommentSubject">
    <w:name w:val="annotation subject"/>
    <w:basedOn w:val="CommentText"/>
    <w:next w:val="CommentText"/>
    <w:link w:val="CommentSubjectChar"/>
    <w:uiPriority w:val="99"/>
    <w:semiHidden/>
    <w:unhideWhenUsed/>
    <w:rsid w:val="00533E21"/>
    <w:rPr>
      <w:b/>
      <w:bCs/>
    </w:rPr>
  </w:style>
  <w:style w:type="character" w:customStyle="1" w:styleId="CommentSubjectChar">
    <w:name w:val="Comment Subject Char"/>
    <w:basedOn w:val="CommentTextChar"/>
    <w:link w:val="CommentSubject"/>
    <w:uiPriority w:val="99"/>
    <w:semiHidden/>
    <w:rsid w:val="00533E21"/>
    <w:rPr>
      <w:b/>
      <w:bCs/>
      <w:sz w:val="20"/>
      <w:szCs w:val="20"/>
    </w:rPr>
  </w:style>
  <w:style w:type="character" w:customStyle="1" w:styleId="Heading3Char">
    <w:name w:val="Heading 3 Char"/>
    <w:basedOn w:val="DefaultParagraphFont"/>
    <w:link w:val="Heading3"/>
    <w:uiPriority w:val="9"/>
    <w:rsid w:val="00317D0E"/>
    <w:rPr>
      <w:rFonts w:eastAsia="Times New Roman" w:cs="Times New Roman"/>
      <w:b/>
      <w:bCs/>
      <w:sz w:val="27"/>
      <w:szCs w:val="27"/>
    </w:rPr>
  </w:style>
  <w:style w:type="character" w:customStyle="1" w:styleId="Heading4Char">
    <w:name w:val="Heading 4 Char"/>
    <w:basedOn w:val="DefaultParagraphFont"/>
    <w:link w:val="Heading4"/>
    <w:uiPriority w:val="9"/>
    <w:rsid w:val="00B27F53"/>
    <w:rPr>
      <w:rFonts w:asciiTheme="majorHAnsi" w:eastAsiaTheme="majorEastAsia" w:hAnsiTheme="majorHAnsi" w:cstheme="majorBidi"/>
      <w:i/>
      <w:iCs/>
      <w:color w:val="2F5496" w:themeColor="accent1" w:themeShade="BF"/>
      <w:sz w:val="24"/>
    </w:rPr>
  </w:style>
  <w:style w:type="paragraph" w:styleId="Footer">
    <w:name w:val="footer"/>
    <w:basedOn w:val="Normal"/>
    <w:link w:val="FooterChar"/>
    <w:uiPriority w:val="99"/>
    <w:unhideWhenUsed/>
    <w:rsid w:val="002341B2"/>
    <w:pPr>
      <w:tabs>
        <w:tab w:val="center" w:pos="4680"/>
        <w:tab w:val="right" w:pos="9360"/>
      </w:tabs>
    </w:pPr>
  </w:style>
  <w:style w:type="character" w:customStyle="1" w:styleId="FooterChar">
    <w:name w:val="Footer Char"/>
    <w:basedOn w:val="DefaultParagraphFont"/>
    <w:link w:val="Footer"/>
    <w:uiPriority w:val="99"/>
    <w:rsid w:val="002341B2"/>
    <w:rPr>
      <w:rFonts w:eastAsia="Times New Roman" w:cs="Times New Roman"/>
      <w:sz w:val="24"/>
    </w:rPr>
  </w:style>
  <w:style w:type="character" w:styleId="PageNumber">
    <w:name w:val="page number"/>
    <w:basedOn w:val="DefaultParagraphFont"/>
    <w:uiPriority w:val="99"/>
    <w:semiHidden/>
    <w:unhideWhenUsed/>
    <w:rsid w:val="002341B2"/>
  </w:style>
  <w:style w:type="character" w:customStyle="1" w:styleId="apple-converted-space">
    <w:name w:val="apple-converted-space"/>
    <w:basedOn w:val="DefaultParagraphFont"/>
    <w:rsid w:val="00A0543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32630">
      <w:bodyDiv w:val="1"/>
      <w:marLeft w:val="0"/>
      <w:marRight w:val="0"/>
      <w:marTop w:val="0"/>
      <w:marBottom w:val="0"/>
      <w:divBdr>
        <w:top w:val="none" w:sz="0" w:space="0" w:color="auto"/>
        <w:left w:val="none" w:sz="0" w:space="0" w:color="auto"/>
        <w:bottom w:val="none" w:sz="0" w:space="0" w:color="auto"/>
        <w:right w:val="none" w:sz="0" w:space="0" w:color="auto"/>
      </w:divBdr>
    </w:div>
    <w:div w:id="2052930">
      <w:bodyDiv w:val="1"/>
      <w:marLeft w:val="0"/>
      <w:marRight w:val="0"/>
      <w:marTop w:val="0"/>
      <w:marBottom w:val="0"/>
      <w:divBdr>
        <w:top w:val="none" w:sz="0" w:space="0" w:color="auto"/>
        <w:left w:val="none" w:sz="0" w:space="0" w:color="auto"/>
        <w:bottom w:val="none" w:sz="0" w:space="0" w:color="auto"/>
        <w:right w:val="none" w:sz="0" w:space="0" w:color="auto"/>
      </w:divBdr>
    </w:div>
    <w:div w:id="9988923">
      <w:bodyDiv w:val="1"/>
      <w:marLeft w:val="0"/>
      <w:marRight w:val="0"/>
      <w:marTop w:val="0"/>
      <w:marBottom w:val="0"/>
      <w:divBdr>
        <w:top w:val="none" w:sz="0" w:space="0" w:color="auto"/>
        <w:left w:val="none" w:sz="0" w:space="0" w:color="auto"/>
        <w:bottom w:val="none" w:sz="0" w:space="0" w:color="auto"/>
        <w:right w:val="none" w:sz="0" w:space="0" w:color="auto"/>
      </w:divBdr>
    </w:div>
    <w:div w:id="14549154">
      <w:bodyDiv w:val="1"/>
      <w:marLeft w:val="0"/>
      <w:marRight w:val="0"/>
      <w:marTop w:val="0"/>
      <w:marBottom w:val="0"/>
      <w:divBdr>
        <w:top w:val="none" w:sz="0" w:space="0" w:color="auto"/>
        <w:left w:val="none" w:sz="0" w:space="0" w:color="auto"/>
        <w:bottom w:val="none" w:sz="0" w:space="0" w:color="auto"/>
        <w:right w:val="none" w:sz="0" w:space="0" w:color="auto"/>
      </w:divBdr>
    </w:div>
    <w:div w:id="16585987">
      <w:bodyDiv w:val="1"/>
      <w:marLeft w:val="0"/>
      <w:marRight w:val="0"/>
      <w:marTop w:val="0"/>
      <w:marBottom w:val="0"/>
      <w:divBdr>
        <w:top w:val="none" w:sz="0" w:space="0" w:color="auto"/>
        <w:left w:val="none" w:sz="0" w:space="0" w:color="auto"/>
        <w:bottom w:val="none" w:sz="0" w:space="0" w:color="auto"/>
        <w:right w:val="none" w:sz="0" w:space="0" w:color="auto"/>
      </w:divBdr>
    </w:div>
    <w:div w:id="20933971">
      <w:bodyDiv w:val="1"/>
      <w:marLeft w:val="0"/>
      <w:marRight w:val="0"/>
      <w:marTop w:val="0"/>
      <w:marBottom w:val="0"/>
      <w:divBdr>
        <w:top w:val="none" w:sz="0" w:space="0" w:color="auto"/>
        <w:left w:val="none" w:sz="0" w:space="0" w:color="auto"/>
        <w:bottom w:val="none" w:sz="0" w:space="0" w:color="auto"/>
        <w:right w:val="none" w:sz="0" w:space="0" w:color="auto"/>
      </w:divBdr>
    </w:div>
    <w:div w:id="22097720">
      <w:bodyDiv w:val="1"/>
      <w:marLeft w:val="0"/>
      <w:marRight w:val="0"/>
      <w:marTop w:val="0"/>
      <w:marBottom w:val="0"/>
      <w:divBdr>
        <w:top w:val="none" w:sz="0" w:space="0" w:color="auto"/>
        <w:left w:val="none" w:sz="0" w:space="0" w:color="auto"/>
        <w:bottom w:val="none" w:sz="0" w:space="0" w:color="auto"/>
        <w:right w:val="none" w:sz="0" w:space="0" w:color="auto"/>
      </w:divBdr>
    </w:div>
    <w:div w:id="23217188">
      <w:bodyDiv w:val="1"/>
      <w:marLeft w:val="0"/>
      <w:marRight w:val="0"/>
      <w:marTop w:val="0"/>
      <w:marBottom w:val="0"/>
      <w:divBdr>
        <w:top w:val="none" w:sz="0" w:space="0" w:color="auto"/>
        <w:left w:val="none" w:sz="0" w:space="0" w:color="auto"/>
        <w:bottom w:val="none" w:sz="0" w:space="0" w:color="auto"/>
        <w:right w:val="none" w:sz="0" w:space="0" w:color="auto"/>
      </w:divBdr>
    </w:div>
    <w:div w:id="34818602">
      <w:bodyDiv w:val="1"/>
      <w:marLeft w:val="0"/>
      <w:marRight w:val="0"/>
      <w:marTop w:val="0"/>
      <w:marBottom w:val="0"/>
      <w:divBdr>
        <w:top w:val="none" w:sz="0" w:space="0" w:color="auto"/>
        <w:left w:val="none" w:sz="0" w:space="0" w:color="auto"/>
        <w:bottom w:val="none" w:sz="0" w:space="0" w:color="auto"/>
        <w:right w:val="none" w:sz="0" w:space="0" w:color="auto"/>
      </w:divBdr>
    </w:div>
    <w:div w:id="49110223">
      <w:bodyDiv w:val="1"/>
      <w:marLeft w:val="0"/>
      <w:marRight w:val="0"/>
      <w:marTop w:val="0"/>
      <w:marBottom w:val="0"/>
      <w:divBdr>
        <w:top w:val="none" w:sz="0" w:space="0" w:color="auto"/>
        <w:left w:val="none" w:sz="0" w:space="0" w:color="auto"/>
        <w:bottom w:val="none" w:sz="0" w:space="0" w:color="auto"/>
        <w:right w:val="none" w:sz="0" w:space="0" w:color="auto"/>
      </w:divBdr>
    </w:div>
    <w:div w:id="55326707">
      <w:bodyDiv w:val="1"/>
      <w:marLeft w:val="0"/>
      <w:marRight w:val="0"/>
      <w:marTop w:val="0"/>
      <w:marBottom w:val="0"/>
      <w:divBdr>
        <w:top w:val="none" w:sz="0" w:space="0" w:color="auto"/>
        <w:left w:val="none" w:sz="0" w:space="0" w:color="auto"/>
        <w:bottom w:val="none" w:sz="0" w:space="0" w:color="auto"/>
        <w:right w:val="none" w:sz="0" w:space="0" w:color="auto"/>
      </w:divBdr>
    </w:div>
    <w:div w:id="65224426">
      <w:bodyDiv w:val="1"/>
      <w:marLeft w:val="0"/>
      <w:marRight w:val="0"/>
      <w:marTop w:val="0"/>
      <w:marBottom w:val="0"/>
      <w:divBdr>
        <w:top w:val="none" w:sz="0" w:space="0" w:color="auto"/>
        <w:left w:val="none" w:sz="0" w:space="0" w:color="auto"/>
        <w:bottom w:val="none" w:sz="0" w:space="0" w:color="auto"/>
        <w:right w:val="none" w:sz="0" w:space="0" w:color="auto"/>
      </w:divBdr>
    </w:div>
    <w:div w:id="66341239">
      <w:bodyDiv w:val="1"/>
      <w:marLeft w:val="0"/>
      <w:marRight w:val="0"/>
      <w:marTop w:val="0"/>
      <w:marBottom w:val="0"/>
      <w:divBdr>
        <w:top w:val="none" w:sz="0" w:space="0" w:color="auto"/>
        <w:left w:val="none" w:sz="0" w:space="0" w:color="auto"/>
        <w:bottom w:val="none" w:sz="0" w:space="0" w:color="auto"/>
        <w:right w:val="none" w:sz="0" w:space="0" w:color="auto"/>
      </w:divBdr>
    </w:div>
    <w:div w:id="66920183">
      <w:bodyDiv w:val="1"/>
      <w:marLeft w:val="0"/>
      <w:marRight w:val="0"/>
      <w:marTop w:val="0"/>
      <w:marBottom w:val="0"/>
      <w:divBdr>
        <w:top w:val="none" w:sz="0" w:space="0" w:color="auto"/>
        <w:left w:val="none" w:sz="0" w:space="0" w:color="auto"/>
        <w:bottom w:val="none" w:sz="0" w:space="0" w:color="auto"/>
        <w:right w:val="none" w:sz="0" w:space="0" w:color="auto"/>
      </w:divBdr>
    </w:div>
    <w:div w:id="70273763">
      <w:bodyDiv w:val="1"/>
      <w:marLeft w:val="0"/>
      <w:marRight w:val="0"/>
      <w:marTop w:val="0"/>
      <w:marBottom w:val="0"/>
      <w:divBdr>
        <w:top w:val="none" w:sz="0" w:space="0" w:color="auto"/>
        <w:left w:val="none" w:sz="0" w:space="0" w:color="auto"/>
        <w:bottom w:val="none" w:sz="0" w:space="0" w:color="auto"/>
        <w:right w:val="none" w:sz="0" w:space="0" w:color="auto"/>
      </w:divBdr>
    </w:div>
    <w:div w:id="74786845">
      <w:bodyDiv w:val="1"/>
      <w:marLeft w:val="0"/>
      <w:marRight w:val="0"/>
      <w:marTop w:val="0"/>
      <w:marBottom w:val="0"/>
      <w:divBdr>
        <w:top w:val="none" w:sz="0" w:space="0" w:color="auto"/>
        <w:left w:val="none" w:sz="0" w:space="0" w:color="auto"/>
        <w:bottom w:val="none" w:sz="0" w:space="0" w:color="auto"/>
        <w:right w:val="none" w:sz="0" w:space="0" w:color="auto"/>
      </w:divBdr>
    </w:div>
    <w:div w:id="78915833">
      <w:bodyDiv w:val="1"/>
      <w:marLeft w:val="0"/>
      <w:marRight w:val="0"/>
      <w:marTop w:val="0"/>
      <w:marBottom w:val="0"/>
      <w:divBdr>
        <w:top w:val="none" w:sz="0" w:space="0" w:color="auto"/>
        <w:left w:val="none" w:sz="0" w:space="0" w:color="auto"/>
        <w:bottom w:val="none" w:sz="0" w:space="0" w:color="auto"/>
        <w:right w:val="none" w:sz="0" w:space="0" w:color="auto"/>
      </w:divBdr>
    </w:div>
    <w:div w:id="83689492">
      <w:bodyDiv w:val="1"/>
      <w:marLeft w:val="0"/>
      <w:marRight w:val="0"/>
      <w:marTop w:val="0"/>
      <w:marBottom w:val="0"/>
      <w:divBdr>
        <w:top w:val="none" w:sz="0" w:space="0" w:color="auto"/>
        <w:left w:val="none" w:sz="0" w:space="0" w:color="auto"/>
        <w:bottom w:val="none" w:sz="0" w:space="0" w:color="auto"/>
        <w:right w:val="none" w:sz="0" w:space="0" w:color="auto"/>
      </w:divBdr>
    </w:div>
    <w:div w:id="84351899">
      <w:bodyDiv w:val="1"/>
      <w:marLeft w:val="0"/>
      <w:marRight w:val="0"/>
      <w:marTop w:val="0"/>
      <w:marBottom w:val="0"/>
      <w:divBdr>
        <w:top w:val="none" w:sz="0" w:space="0" w:color="auto"/>
        <w:left w:val="none" w:sz="0" w:space="0" w:color="auto"/>
        <w:bottom w:val="none" w:sz="0" w:space="0" w:color="auto"/>
        <w:right w:val="none" w:sz="0" w:space="0" w:color="auto"/>
      </w:divBdr>
    </w:div>
    <w:div w:id="90663710">
      <w:bodyDiv w:val="1"/>
      <w:marLeft w:val="0"/>
      <w:marRight w:val="0"/>
      <w:marTop w:val="0"/>
      <w:marBottom w:val="0"/>
      <w:divBdr>
        <w:top w:val="none" w:sz="0" w:space="0" w:color="auto"/>
        <w:left w:val="none" w:sz="0" w:space="0" w:color="auto"/>
        <w:bottom w:val="none" w:sz="0" w:space="0" w:color="auto"/>
        <w:right w:val="none" w:sz="0" w:space="0" w:color="auto"/>
      </w:divBdr>
    </w:div>
    <w:div w:id="92017506">
      <w:bodyDiv w:val="1"/>
      <w:marLeft w:val="0"/>
      <w:marRight w:val="0"/>
      <w:marTop w:val="0"/>
      <w:marBottom w:val="0"/>
      <w:divBdr>
        <w:top w:val="none" w:sz="0" w:space="0" w:color="auto"/>
        <w:left w:val="none" w:sz="0" w:space="0" w:color="auto"/>
        <w:bottom w:val="none" w:sz="0" w:space="0" w:color="auto"/>
        <w:right w:val="none" w:sz="0" w:space="0" w:color="auto"/>
      </w:divBdr>
    </w:div>
    <w:div w:id="94594523">
      <w:bodyDiv w:val="1"/>
      <w:marLeft w:val="0"/>
      <w:marRight w:val="0"/>
      <w:marTop w:val="0"/>
      <w:marBottom w:val="0"/>
      <w:divBdr>
        <w:top w:val="none" w:sz="0" w:space="0" w:color="auto"/>
        <w:left w:val="none" w:sz="0" w:space="0" w:color="auto"/>
        <w:bottom w:val="none" w:sz="0" w:space="0" w:color="auto"/>
        <w:right w:val="none" w:sz="0" w:space="0" w:color="auto"/>
      </w:divBdr>
    </w:div>
    <w:div w:id="102698965">
      <w:bodyDiv w:val="1"/>
      <w:marLeft w:val="0"/>
      <w:marRight w:val="0"/>
      <w:marTop w:val="0"/>
      <w:marBottom w:val="0"/>
      <w:divBdr>
        <w:top w:val="none" w:sz="0" w:space="0" w:color="auto"/>
        <w:left w:val="none" w:sz="0" w:space="0" w:color="auto"/>
        <w:bottom w:val="none" w:sz="0" w:space="0" w:color="auto"/>
        <w:right w:val="none" w:sz="0" w:space="0" w:color="auto"/>
      </w:divBdr>
    </w:div>
    <w:div w:id="106854506">
      <w:bodyDiv w:val="1"/>
      <w:marLeft w:val="0"/>
      <w:marRight w:val="0"/>
      <w:marTop w:val="0"/>
      <w:marBottom w:val="0"/>
      <w:divBdr>
        <w:top w:val="none" w:sz="0" w:space="0" w:color="auto"/>
        <w:left w:val="none" w:sz="0" w:space="0" w:color="auto"/>
        <w:bottom w:val="none" w:sz="0" w:space="0" w:color="auto"/>
        <w:right w:val="none" w:sz="0" w:space="0" w:color="auto"/>
      </w:divBdr>
    </w:div>
    <w:div w:id="110902528">
      <w:bodyDiv w:val="1"/>
      <w:marLeft w:val="0"/>
      <w:marRight w:val="0"/>
      <w:marTop w:val="0"/>
      <w:marBottom w:val="0"/>
      <w:divBdr>
        <w:top w:val="none" w:sz="0" w:space="0" w:color="auto"/>
        <w:left w:val="none" w:sz="0" w:space="0" w:color="auto"/>
        <w:bottom w:val="none" w:sz="0" w:space="0" w:color="auto"/>
        <w:right w:val="none" w:sz="0" w:space="0" w:color="auto"/>
      </w:divBdr>
    </w:div>
    <w:div w:id="124085439">
      <w:bodyDiv w:val="1"/>
      <w:marLeft w:val="0"/>
      <w:marRight w:val="0"/>
      <w:marTop w:val="0"/>
      <w:marBottom w:val="0"/>
      <w:divBdr>
        <w:top w:val="none" w:sz="0" w:space="0" w:color="auto"/>
        <w:left w:val="none" w:sz="0" w:space="0" w:color="auto"/>
        <w:bottom w:val="none" w:sz="0" w:space="0" w:color="auto"/>
        <w:right w:val="none" w:sz="0" w:space="0" w:color="auto"/>
      </w:divBdr>
    </w:div>
    <w:div w:id="125588789">
      <w:bodyDiv w:val="1"/>
      <w:marLeft w:val="0"/>
      <w:marRight w:val="0"/>
      <w:marTop w:val="0"/>
      <w:marBottom w:val="0"/>
      <w:divBdr>
        <w:top w:val="none" w:sz="0" w:space="0" w:color="auto"/>
        <w:left w:val="none" w:sz="0" w:space="0" w:color="auto"/>
        <w:bottom w:val="none" w:sz="0" w:space="0" w:color="auto"/>
        <w:right w:val="none" w:sz="0" w:space="0" w:color="auto"/>
      </w:divBdr>
    </w:div>
    <w:div w:id="137379502">
      <w:bodyDiv w:val="1"/>
      <w:marLeft w:val="0"/>
      <w:marRight w:val="0"/>
      <w:marTop w:val="0"/>
      <w:marBottom w:val="0"/>
      <w:divBdr>
        <w:top w:val="none" w:sz="0" w:space="0" w:color="auto"/>
        <w:left w:val="none" w:sz="0" w:space="0" w:color="auto"/>
        <w:bottom w:val="none" w:sz="0" w:space="0" w:color="auto"/>
        <w:right w:val="none" w:sz="0" w:space="0" w:color="auto"/>
      </w:divBdr>
    </w:div>
    <w:div w:id="150417057">
      <w:bodyDiv w:val="1"/>
      <w:marLeft w:val="0"/>
      <w:marRight w:val="0"/>
      <w:marTop w:val="0"/>
      <w:marBottom w:val="0"/>
      <w:divBdr>
        <w:top w:val="none" w:sz="0" w:space="0" w:color="auto"/>
        <w:left w:val="none" w:sz="0" w:space="0" w:color="auto"/>
        <w:bottom w:val="none" w:sz="0" w:space="0" w:color="auto"/>
        <w:right w:val="none" w:sz="0" w:space="0" w:color="auto"/>
      </w:divBdr>
    </w:div>
    <w:div w:id="161094818">
      <w:bodyDiv w:val="1"/>
      <w:marLeft w:val="0"/>
      <w:marRight w:val="0"/>
      <w:marTop w:val="0"/>
      <w:marBottom w:val="0"/>
      <w:divBdr>
        <w:top w:val="none" w:sz="0" w:space="0" w:color="auto"/>
        <w:left w:val="none" w:sz="0" w:space="0" w:color="auto"/>
        <w:bottom w:val="none" w:sz="0" w:space="0" w:color="auto"/>
        <w:right w:val="none" w:sz="0" w:space="0" w:color="auto"/>
      </w:divBdr>
    </w:div>
    <w:div w:id="163135271">
      <w:bodyDiv w:val="1"/>
      <w:marLeft w:val="0"/>
      <w:marRight w:val="0"/>
      <w:marTop w:val="0"/>
      <w:marBottom w:val="0"/>
      <w:divBdr>
        <w:top w:val="none" w:sz="0" w:space="0" w:color="auto"/>
        <w:left w:val="none" w:sz="0" w:space="0" w:color="auto"/>
        <w:bottom w:val="none" w:sz="0" w:space="0" w:color="auto"/>
        <w:right w:val="none" w:sz="0" w:space="0" w:color="auto"/>
      </w:divBdr>
    </w:div>
    <w:div w:id="163588946">
      <w:bodyDiv w:val="1"/>
      <w:marLeft w:val="0"/>
      <w:marRight w:val="0"/>
      <w:marTop w:val="0"/>
      <w:marBottom w:val="0"/>
      <w:divBdr>
        <w:top w:val="none" w:sz="0" w:space="0" w:color="auto"/>
        <w:left w:val="none" w:sz="0" w:space="0" w:color="auto"/>
        <w:bottom w:val="none" w:sz="0" w:space="0" w:color="auto"/>
        <w:right w:val="none" w:sz="0" w:space="0" w:color="auto"/>
      </w:divBdr>
    </w:div>
    <w:div w:id="169414970">
      <w:bodyDiv w:val="1"/>
      <w:marLeft w:val="0"/>
      <w:marRight w:val="0"/>
      <w:marTop w:val="0"/>
      <w:marBottom w:val="0"/>
      <w:divBdr>
        <w:top w:val="none" w:sz="0" w:space="0" w:color="auto"/>
        <w:left w:val="none" w:sz="0" w:space="0" w:color="auto"/>
        <w:bottom w:val="none" w:sz="0" w:space="0" w:color="auto"/>
        <w:right w:val="none" w:sz="0" w:space="0" w:color="auto"/>
      </w:divBdr>
    </w:div>
    <w:div w:id="171728583">
      <w:bodyDiv w:val="1"/>
      <w:marLeft w:val="0"/>
      <w:marRight w:val="0"/>
      <w:marTop w:val="0"/>
      <w:marBottom w:val="0"/>
      <w:divBdr>
        <w:top w:val="none" w:sz="0" w:space="0" w:color="auto"/>
        <w:left w:val="none" w:sz="0" w:space="0" w:color="auto"/>
        <w:bottom w:val="none" w:sz="0" w:space="0" w:color="auto"/>
        <w:right w:val="none" w:sz="0" w:space="0" w:color="auto"/>
      </w:divBdr>
    </w:div>
    <w:div w:id="177426782">
      <w:bodyDiv w:val="1"/>
      <w:marLeft w:val="0"/>
      <w:marRight w:val="0"/>
      <w:marTop w:val="0"/>
      <w:marBottom w:val="0"/>
      <w:divBdr>
        <w:top w:val="none" w:sz="0" w:space="0" w:color="auto"/>
        <w:left w:val="none" w:sz="0" w:space="0" w:color="auto"/>
        <w:bottom w:val="none" w:sz="0" w:space="0" w:color="auto"/>
        <w:right w:val="none" w:sz="0" w:space="0" w:color="auto"/>
      </w:divBdr>
    </w:div>
    <w:div w:id="178739257">
      <w:bodyDiv w:val="1"/>
      <w:marLeft w:val="0"/>
      <w:marRight w:val="0"/>
      <w:marTop w:val="0"/>
      <w:marBottom w:val="0"/>
      <w:divBdr>
        <w:top w:val="none" w:sz="0" w:space="0" w:color="auto"/>
        <w:left w:val="none" w:sz="0" w:space="0" w:color="auto"/>
        <w:bottom w:val="none" w:sz="0" w:space="0" w:color="auto"/>
        <w:right w:val="none" w:sz="0" w:space="0" w:color="auto"/>
      </w:divBdr>
    </w:div>
    <w:div w:id="183977073">
      <w:bodyDiv w:val="1"/>
      <w:marLeft w:val="0"/>
      <w:marRight w:val="0"/>
      <w:marTop w:val="0"/>
      <w:marBottom w:val="0"/>
      <w:divBdr>
        <w:top w:val="none" w:sz="0" w:space="0" w:color="auto"/>
        <w:left w:val="none" w:sz="0" w:space="0" w:color="auto"/>
        <w:bottom w:val="none" w:sz="0" w:space="0" w:color="auto"/>
        <w:right w:val="none" w:sz="0" w:space="0" w:color="auto"/>
      </w:divBdr>
    </w:div>
    <w:div w:id="189344547">
      <w:bodyDiv w:val="1"/>
      <w:marLeft w:val="0"/>
      <w:marRight w:val="0"/>
      <w:marTop w:val="0"/>
      <w:marBottom w:val="0"/>
      <w:divBdr>
        <w:top w:val="none" w:sz="0" w:space="0" w:color="auto"/>
        <w:left w:val="none" w:sz="0" w:space="0" w:color="auto"/>
        <w:bottom w:val="none" w:sz="0" w:space="0" w:color="auto"/>
        <w:right w:val="none" w:sz="0" w:space="0" w:color="auto"/>
      </w:divBdr>
    </w:div>
    <w:div w:id="205990416">
      <w:bodyDiv w:val="1"/>
      <w:marLeft w:val="0"/>
      <w:marRight w:val="0"/>
      <w:marTop w:val="0"/>
      <w:marBottom w:val="0"/>
      <w:divBdr>
        <w:top w:val="none" w:sz="0" w:space="0" w:color="auto"/>
        <w:left w:val="none" w:sz="0" w:space="0" w:color="auto"/>
        <w:bottom w:val="none" w:sz="0" w:space="0" w:color="auto"/>
        <w:right w:val="none" w:sz="0" w:space="0" w:color="auto"/>
      </w:divBdr>
    </w:div>
    <w:div w:id="207496094">
      <w:bodyDiv w:val="1"/>
      <w:marLeft w:val="0"/>
      <w:marRight w:val="0"/>
      <w:marTop w:val="0"/>
      <w:marBottom w:val="0"/>
      <w:divBdr>
        <w:top w:val="none" w:sz="0" w:space="0" w:color="auto"/>
        <w:left w:val="none" w:sz="0" w:space="0" w:color="auto"/>
        <w:bottom w:val="none" w:sz="0" w:space="0" w:color="auto"/>
        <w:right w:val="none" w:sz="0" w:space="0" w:color="auto"/>
      </w:divBdr>
    </w:div>
    <w:div w:id="216479961">
      <w:bodyDiv w:val="1"/>
      <w:marLeft w:val="0"/>
      <w:marRight w:val="0"/>
      <w:marTop w:val="0"/>
      <w:marBottom w:val="0"/>
      <w:divBdr>
        <w:top w:val="none" w:sz="0" w:space="0" w:color="auto"/>
        <w:left w:val="none" w:sz="0" w:space="0" w:color="auto"/>
        <w:bottom w:val="none" w:sz="0" w:space="0" w:color="auto"/>
        <w:right w:val="none" w:sz="0" w:space="0" w:color="auto"/>
      </w:divBdr>
    </w:div>
    <w:div w:id="217402370">
      <w:bodyDiv w:val="1"/>
      <w:marLeft w:val="0"/>
      <w:marRight w:val="0"/>
      <w:marTop w:val="0"/>
      <w:marBottom w:val="0"/>
      <w:divBdr>
        <w:top w:val="none" w:sz="0" w:space="0" w:color="auto"/>
        <w:left w:val="none" w:sz="0" w:space="0" w:color="auto"/>
        <w:bottom w:val="none" w:sz="0" w:space="0" w:color="auto"/>
        <w:right w:val="none" w:sz="0" w:space="0" w:color="auto"/>
      </w:divBdr>
    </w:div>
    <w:div w:id="219101553">
      <w:bodyDiv w:val="1"/>
      <w:marLeft w:val="0"/>
      <w:marRight w:val="0"/>
      <w:marTop w:val="0"/>
      <w:marBottom w:val="0"/>
      <w:divBdr>
        <w:top w:val="none" w:sz="0" w:space="0" w:color="auto"/>
        <w:left w:val="none" w:sz="0" w:space="0" w:color="auto"/>
        <w:bottom w:val="none" w:sz="0" w:space="0" w:color="auto"/>
        <w:right w:val="none" w:sz="0" w:space="0" w:color="auto"/>
      </w:divBdr>
    </w:div>
    <w:div w:id="228271691">
      <w:bodyDiv w:val="1"/>
      <w:marLeft w:val="0"/>
      <w:marRight w:val="0"/>
      <w:marTop w:val="0"/>
      <w:marBottom w:val="0"/>
      <w:divBdr>
        <w:top w:val="none" w:sz="0" w:space="0" w:color="auto"/>
        <w:left w:val="none" w:sz="0" w:space="0" w:color="auto"/>
        <w:bottom w:val="none" w:sz="0" w:space="0" w:color="auto"/>
        <w:right w:val="none" w:sz="0" w:space="0" w:color="auto"/>
      </w:divBdr>
    </w:div>
    <w:div w:id="229314876">
      <w:bodyDiv w:val="1"/>
      <w:marLeft w:val="0"/>
      <w:marRight w:val="0"/>
      <w:marTop w:val="0"/>
      <w:marBottom w:val="0"/>
      <w:divBdr>
        <w:top w:val="none" w:sz="0" w:space="0" w:color="auto"/>
        <w:left w:val="none" w:sz="0" w:space="0" w:color="auto"/>
        <w:bottom w:val="none" w:sz="0" w:space="0" w:color="auto"/>
        <w:right w:val="none" w:sz="0" w:space="0" w:color="auto"/>
      </w:divBdr>
    </w:div>
    <w:div w:id="231818764">
      <w:bodyDiv w:val="1"/>
      <w:marLeft w:val="0"/>
      <w:marRight w:val="0"/>
      <w:marTop w:val="0"/>
      <w:marBottom w:val="0"/>
      <w:divBdr>
        <w:top w:val="none" w:sz="0" w:space="0" w:color="auto"/>
        <w:left w:val="none" w:sz="0" w:space="0" w:color="auto"/>
        <w:bottom w:val="none" w:sz="0" w:space="0" w:color="auto"/>
        <w:right w:val="none" w:sz="0" w:space="0" w:color="auto"/>
      </w:divBdr>
    </w:div>
    <w:div w:id="233130644">
      <w:bodyDiv w:val="1"/>
      <w:marLeft w:val="0"/>
      <w:marRight w:val="0"/>
      <w:marTop w:val="0"/>
      <w:marBottom w:val="0"/>
      <w:divBdr>
        <w:top w:val="none" w:sz="0" w:space="0" w:color="auto"/>
        <w:left w:val="none" w:sz="0" w:space="0" w:color="auto"/>
        <w:bottom w:val="none" w:sz="0" w:space="0" w:color="auto"/>
        <w:right w:val="none" w:sz="0" w:space="0" w:color="auto"/>
      </w:divBdr>
    </w:div>
    <w:div w:id="236944131">
      <w:bodyDiv w:val="1"/>
      <w:marLeft w:val="0"/>
      <w:marRight w:val="0"/>
      <w:marTop w:val="0"/>
      <w:marBottom w:val="0"/>
      <w:divBdr>
        <w:top w:val="none" w:sz="0" w:space="0" w:color="auto"/>
        <w:left w:val="none" w:sz="0" w:space="0" w:color="auto"/>
        <w:bottom w:val="none" w:sz="0" w:space="0" w:color="auto"/>
        <w:right w:val="none" w:sz="0" w:space="0" w:color="auto"/>
      </w:divBdr>
    </w:div>
    <w:div w:id="237718763">
      <w:bodyDiv w:val="1"/>
      <w:marLeft w:val="0"/>
      <w:marRight w:val="0"/>
      <w:marTop w:val="0"/>
      <w:marBottom w:val="0"/>
      <w:divBdr>
        <w:top w:val="none" w:sz="0" w:space="0" w:color="auto"/>
        <w:left w:val="none" w:sz="0" w:space="0" w:color="auto"/>
        <w:bottom w:val="none" w:sz="0" w:space="0" w:color="auto"/>
        <w:right w:val="none" w:sz="0" w:space="0" w:color="auto"/>
      </w:divBdr>
      <w:divsChild>
        <w:div w:id="137650460">
          <w:marLeft w:val="0"/>
          <w:marRight w:val="0"/>
          <w:marTop w:val="0"/>
          <w:marBottom w:val="0"/>
          <w:divBdr>
            <w:top w:val="none" w:sz="0" w:space="0" w:color="auto"/>
            <w:left w:val="none" w:sz="0" w:space="0" w:color="auto"/>
            <w:bottom w:val="none" w:sz="0" w:space="0" w:color="auto"/>
            <w:right w:val="none" w:sz="0" w:space="0" w:color="auto"/>
          </w:divBdr>
        </w:div>
      </w:divsChild>
    </w:div>
    <w:div w:id="247465785">
      <w:bodyDiv w:val="1"/>
      <w:marLeft w:val="0"/>
      <w:marRight w:val="0"/>
      <w:marTop w:val="0"/>
      <w:marBottom w:val="0"/>
      <w:divBdr>
        <w:top w:val="none" w:sz="0" w:space="0" w:color="auto"/>
        <w:left w:val="none" w:sz="0" w:space="0" w:color="auto"/>
        <w:bottom w:val="none" w:sz="0" w:space="0" w:color="auto"/>
        <w:right w:val="none" w:sz="0" w:space="0" w:color="auto"/>
      </w:divBdr>
    </w:div>
    <w:div w:id="247665245">
      <w:bodyDiv w:val="1"/>
      <w:marLeft w:val="0"/>
      <w:marRight w:val="0"/>
      <w:marTop w:val="0"/>
      <w:marBottom w:val="0"/>
      <w:divBdr>
        <w:top w:val="none" w:sz="0" w:space="0" w:color="auto"/>
        <w:left w:val="none" w:sz="0" w:space="0" w:color="auto"/>
        <w:bottom w:val="none" w:sz="0" w:space="0" w:color="auto"/>
        <w:right w:val="none" w:sz="0" w:space="0" w:color="auto"/>
      </w:divBdr>
    </w:div>
    <w:div w:id="247740738">
      <w:bodyDiv w:val="1"/>
      <w:marLeft w:val="0"/>
      <w:marRight w:val="0"/>
      <w:marTop w:val="0"/>
      <w:marBottom w:val="0"/>
      <w:divBdr>
        <w:top w:val="none" w:sz="0" w:space="0" w:color="auto"/>
        <w:left w:val="none" w:sz="0" w:space="0" w:color="auto"/>
        <w:bottom w:val="none" w:sz="0" w:space="0" w:color="auto"/>
        <w:right w:val="none" w:sz="0" w:space="0" w:color="auto"/>
      </w:divBdr>
    </w:div>
    <w:div w:id="248972669">
      <w:bodyDiv w:val="1"/>
      <w:marLeft w:val="0"/>
      <w:marRight w:val="0"/>
      <w:marTop w:val="0"/>
      <w:marBottom w:val="0"/>
      <w:divBdr>
        <w:top w:val="none" w:sz="0" w:space="0" w:color="auto"/>
        <w:left w:val="none" w:sz="0" w:space="0" w:color="auto"/>
        <w:bottom w:val="none" w:sz="0" w:space="0" w:color="auto"/>
        <w:right w:val="none" w:sz="0" w:space="0" w:color="auto"/>
      </w:divBdr>
    </w:div>
    <w:div w:id="249461860">
      <w:bodyDiv w:val="1"/>
      <w:marLeft w:val="0"/>
      <w:marRight w:val="0"/>
      <w:marTop w:val="0"/>
      <w:marBottom w:val="0"/>
      <w:divBdr>
        <w:top w:val="none" w:sz="0" w:space="0" w:color="auto"/>
        <w:left w:val="none" w:sz="0" w:space="0" w:color="auto"/>
        <w:bottom w:val="none" w:sz="0" w:space="0" w:color="auto"/>
        <w:right w:val="none" w:sz="0" w:space="0" w:color="auto"/>
      </w:divBdr>
    </w:div>
    <w:div w:id="261307151">
      <w:bodyDiv w:val="1"/>
      <w:marLeft w:val="0"/>
      <w:marRight w:val="0"/>
      <w:marTop w:val="0"/>
      <w:marBottom w:val="0"/>
      <w:divBdr>
        <w:top w:val="none" w:sz="0" w:space="0" w:color="auto"/>
        <w:left w:val="none" w:sz="0" w:space="0" w:color="auto"/>
        <w:bottom w:val="none" w:sz="0" w:space="0" w:color="auto"/>
        <w:right w:val="none" w:sz="0" w:space="0" w:color="auto"/>
      </w:divBdr>
    </w:div>
    <w:div w:id="262878613">
      <w:bodyDiv w:val="1"/>
      <w:marLeft w:val="0"/>
      <w:marRight w:val="0"/>
      <w:marTop w:val="0"/>
      <w:marBottom w:val="0"/>
      <w:divBdr>
        <w:top w:val="none" w:sz="0" w:space="0" w:color="auto"/>
        <w:left w:val="none" w:sz="0" w:space="0" w:color="auto"/>
        <w:bottom w:val="none" w:sz="0" w:space="0" w:color="auto"/>
        <w:right w:val="none" w:sz="0" w:space="0" w:color="auto"/>
      </w:divBdr>
    </w:div>
    <w:div w:id="276789510">
      <w:bodyDiv w:val="1"/>
      <w:marLeft w:val="0"/>
      <w:marRight w:val="0"/>
      <w:marTop w:val="0"/>
      <w:marBottom w:val="0"/>
      <w:divBdr>
        <w:top w:val="none" w:sz="0" w:space="0" w:color="auto"/>
        <w:left w:val="none" w:sz="0" w:space="0" w:color="auto"/>
        <w:bottom w:val="none" w:sz="0" w:space="0" w:color="auto"/>
        <w:right w:val="none" w:sz="0" w:space="0" w:color="auto"/>
      </w:divBdr>
    </w:div>
    <w:div w:id="277178437">
      <w:bodyDiv w:val="1"/>
      <w:marLeft w:val="0"/>
      <w:marRight w:val="0"/>
      <w:marTop w:val="0"/>
      <w:marBottom w:val="0"/>
      <w:divBdr>
        <w:top w:val="none" w:sz="0" w:space="0" w:color="auto"/>
        <w:left w:val="none" w:sz="0" w:space="0" w:color="auto"/>
        <w:bottom w:val="none" w:sz="0" w:space="0" w:color="auto"/>
        <w:right w:val="none" w:sz="0" w:space="0" w:color="auto"/>
      </w:divBdr>
    </w:div>
    <w:div w:id="278998371">
      <w:bodyDiv w:val="1"/>
      <w:marLeft w:val="0"/>
      <w:marRight w:val="0"/>
      <w:marTop w:val="0"/>
      <w:marBottom w:val="0"/>
      <w:divBdr>
        <w:top w:val="none" w:sz="0" w:space="0" w:color="auto"/>
        <w:left w:val="none" w:sz="0" w:space="0" w:color="auto"/>
        <w:bottom w:val="none" w:sz="0" w:space="0" w:color="auto"/>
        <w:right w:val="none" w:sz="0" w:space="0" w:color="auto"/>
      </w:divBdr>
    </w:div>
    <w:div w:id="293223210">
      <w:bodyDiv w:val="1"/>
      <w:marLeft w:val="0"/>
      <w:marRight w:val="0"/>
      <w:marTop w:val="0"/>
      <w:marBottom w:val="0"/>
      <w:divBdr>
        <w:top w:val="none" w:sz="0" w:space="0" w:color="auto"/>
        <w:left w:val="none" w:sz="0" w:space="0" w:color="auto"/>
        <w:bottom w:val="none" w:sz="0" w:space="0" w:color="auto"/>
        <w:right w:val="none" w:sz="0" w:space="0" w:color="auto"/>
      </w:divBdr>
    </w:div>
    <w:div w:id="296837998">
      <w:bodyDiv w:val="1"/>
      <w:marLeft w:val="0"/>
      <w:marRight w:val="0"/>
      <w:marTop w:val="0"/>
      <w:marBottom w:val="0"/>
      <w:divBdr>
        <w:top w:val="none" w:sz="0" w:space="0" w:color="auto"/>
        <w:left w:val="none" w:sz="0" w:space="0" w:color="auto"/>
        <w:bottom w:val="none" w:sz="0" w:space="0" w:color="auto"/>
        <w:right w:val="none" w:sz="0" w:space="0" w:color="auto"/>
      </w:divBdr>
    </w:div>
    <w:div w:id="299455841">
      <w:bodyDiv w:val="1"/>
      <w:marLeft w:val="0"/>
      <w:marRight w:val="0"/>
      <w:marTop w:val="0"/>
      <w:marBottom w:val="0"/>
      <w:divBdr>
        <w:top w:val="none" w:sz="0" w:space="0" w:color="auto"/>
        <w:left w:val="none" w:sz="0" w:space="0" w:color="auto"/>
        <w:bottom w:val="none" w:sz="0" w:space="0" w:color="auto"/>
        <w:right w:val="none" w:sz="0" w:space="0" w:color="auto"/>
      </w:divBdr>
    </w:div>
    <w:div w:id="302734339">
      <w:bodyDiv w:val="1"/>
      <w:marLeft w:val="0"/>
      <w:marRight w:val="0"/>
      <w:marTop w:val="0"/>
      <w:marBottom w:val="0"/>
      <w:divBdr>
        <w:top w:val="none" w:sz="0" w:space="0" w:color="auto"/>
        <w:left w:val="none" w:sz="0" w:space="0" w:color="auto"/>
        <w:bottom w:val="none" w:sz="0" w:space="0" w:color="auto"/>
        <w:right w:val="none" w:sz="0" w:space="0" w:color="auto"/>
      </w:divBdr>
    </w:div>
    <w:div w:id="303120301">
      <w:bodyDiv w:val="1"/>
      <w:marLeft w:val="0"/>
      <w:marRight w:val="0"/>
      <w:marTop w:val="0"/>
      <w:marBottom w:val="0"/>
      <w:divBdr>
        <w:top w:val="none" w:sz="0" w:space="0" w:color="auto"/>
        <w:left w:val="none" w:sz="0" w:space="0" w:color="auto"/>
        <w:bottom w:val="none" w:sz="0" w:space="0" w:color="auto"/>
        <w:right w:val="none" w:sz="0" w:space="0" w:color="auto"/>
      </w:divBdr>
    </w:div>
    <w:div w:id="307177145">
      <w:bodyDiv w:val="1"/>
      <w:marLeft w:val="0"/>
      <w:marRight w:val="0"/>
      <w:marTop w:val="0"/>
      <w:marBottom w:val="0"/>
      <w:divBdr>
        <w:top w:val="none" w:sz="0" w:space="0" w:color="auto"/>
        <w:left w:val="none" w:sz="0" w:space="0" w:color="auto"/>
        <w:bottom w:val="none" w:sz="0" w:space="0" w:color="auto"/>
        <w:right w:val="none" w:sz="0" w:space="0" w:color="auto"/>
      </w:divBdr>
    </w:div>
    <w:div w:id="309330337">
      <w:bodyDiv w:val="1"/>
      <w:marLeft w:val="0"/>
      <w:marRight w:val="0"/>
      <w:marTop w:val="0"/>
      <w:marBottom w:val="0"/>
      <w:divBdr>
        <w:top w:val="none" w:sz="0" w:space="0" w:color="auto"/>
        <w:left w:val="none" w:sz="0" w:space="0" w:color="auto"/>
        <w:bottom w:val="none" w:sz="0" w:space="0" w:color="auto"/>
        <w:right w:val="none" w:sz="0" w:space="0" w:color="auto"/>
      </w:divBdr>
    </w:div>
    <w:div w:id="329915267">
      <w:bodyDiv w:val="1"/>
      <w:marLeft w:val="0"/>
      <w:marRight w:val="0"/>
      <w:marTop w:val="0"/>
      <w:marBottom w:val="0"/>
      <w:divBdr>
        <w:top w:val="none" w:sz="0" w:space="0" w:color="auto"/>
        <w:left w:val="none" w:sz="0" w:space="0" w:color="auto"/>
        <w:bottom w:val="none" w:sz="0" w:space="0" w:color="auto"/>
        <w:right w:val="none" w:sz="0" w:space="0" w:color="auto"/>
      </w:divBdr>
    </w:div>
    <w:div w:id="330526359">
      <w:bodyDiv w:val="1"/>
      <w:marLeft w:val="0"/>
      <w:marRight w:val="0"/>
      <w:marTop w:val="0"/>
      <w:marBottom w:val="0"/>
      <w:divBdr>
        <w:top w:val="none" w:sz="0" w:space="0" w:color="auto"/>
        <w:left w:val="none" w:sz="0" w:space="0" w:color="auto"/>
        <w:bottom w:val="none" w:sz="0" w:space="0" w:color="auto"/>
        <w:right w:val="none" w:sz="0" w:space="0" w:color="auto"/>
      </w:divBdr>
    </w:div>
    <w:div w:id="334116805">
      <w:bodyDiv w:val="1"/>
      <w:marLeft w:val="0"/>
      <w:marRight w:val="0"/>
      <w:marTop w:val="0"/>
      <w:marBottom w:val="0"/>
      <w:divBdr>
        <w:top w:val="none" w:sz="0" w:space="0" w:color="auto"/>
        <w:left w:val="none" w:sz="0" w:space="0" w:color="auto"/>
        <w:bottom w:val="none" w:sz="0" w:space="0" w:color="auto"/>
        <w:right w:val="none" w:sz="0" w:space="0" w:color="auto"/>
      </w:divBdr>
    </w:div>
    <w:div w:id="337973357">
      <w:bodyDiv w:val="1"/>
      <w:marLeft w:val="0"/>
      <w:marRight w:val="0"/>
      <w:marTop w:val="0"/>
      <w:marBottom w:val="0"/>
      <w:divBdr>
        <w:top w:val="none" w:sz="0" w:space="0" w:color="auto"/>
        <w:left w:val="none" w:sz="0" w:space="0" w:color="auto"/>
        <w:bottom w:val="none" w:sz="0" w:space="0" w:color="auto"/>
        <w:right w:val="none" w:sz="0" w:space="0" w:color="auto"/>
      </w:divBdr>
    </w:div>
    <w:div w:id="348214329">
      <w:bodyDiv w:val="1"/>
      <w:marLeft w:val="0"/>
      <w:marRight w:val="0"/>
      <w:marTop w:val="0"/>
      <w:marBottom w:val="0"/>
      <w:divBdr>
        <w:top w:val="none" w:sz="0" w:space="0" w:color="auto"/>
        <w:left w:val="none" w:sz="0" w:space="0" w:color="auto"/>
        <w:bottom w:val="none" w:sz="0" w:space="0" w:color="auto"/>
        <w:right w:val="none" w:sz="0" w:space="0" w:color="auto"/>
      </w:divBdr>
    </w:div>
    <w:div w:id="361320824">
      <w:bodyDiv w:val="1"/>
      <w:marLeft w:val="0"/>
      <w:marRight w:val="0"/>
      <w:marTop w:val="0"/>
      <w:marBottom w:val="0"/>
      <w:divBdr>
        <w:top w:val="none" w:sz="0" w:space="0" w:color="auto"/>
        <w:left w:val="none" w:sz="0" w:space="0" w:color="auto"/>
        <w:bottom w:val="none" w:sz="0" w:space="0" w:color="auto"/>
        <w:right w:val="none" w:sz="0" w:space="0" w:color="auto"/>
      </w:divBdr>
    </w:div>
    <w:div w:id="369955697">
      <w:bodyDiv w:val="1"/>
      <w:marLeft w:val="0"/>
      <w:marRight w:val="0"/>
      <w:marTop w:val="0"/>
      <w:marBottom w:val="0"/>
      <w:divBdr>
        <w:top w:val="none" w:sz="0" w:space="0" w:color="auto"/>
        <w:left w:val="none" w:sz="0" w:space="0" w:color="auto"/>
        <w:bottom w:val="none" w:sz="0" w:space="0" w:color="auto"/>
        <w:right w:val="none" w:sz="0" w:space="0" w:color="auto"/>
      </w:divBdr>
    </w:div>
    <w:div w:id="372775705">
      <w:bodyDiv w:val="1"/>
      <w:marLeft w:val="0"/>
      <w:marRight w:val="0"/>
      <w:marTop w:val="0"/>
      <w:marBottom w:val="0"/>
      <w:divBdr>
        <w:top w:val="none" w:sz="0" w:space="0" w:color="auto"/>
        <w:left w:val="none" w:sz="0" w:space="0" w:color="auto"/>
        <w:bottom w:val="none" w:sz="0" w:space="0" w:color="auto"/>
        <w:right w:val="none" w:sz="0" w:space="0" w:color="auto"/>
      </w:divBdr>
    </w:div>
    <w:div w:id="376585412">
      <w:bodyDiv w:val="1"/>
      <w:marLeft w:val="0"/>
      <w:marRight w:val="0"/>
      <w:marTop w:val="0"/>
      <w:marBottom w:val="0"/>
      <w:divBdr>
        <w:top w:val="none" w:sz="0" w:space="0" w:color="auto"/>
        <w:left w:val="none" w:sz="0" w:space="0" w:color="auto"/>
        <w:bottom w:val="none" w:sz="0" w:space="0" w:color="auto"/>
        <w:right w:val="none" w:sz="0" w:space="0" w:color="auto"/>
      </w:divBdr>
    </w:div>
    <w:div w:id="381485300">
      <w:bodyDiv w:val="1"/>
      <w:marLeft w:val="0"/>
      <w:marRight w:val="0"/>
      <w:marTop w:val="0"/>
      <w:marBottom w:val="0"/>
      <w:divBdr>
        <w:top w:val="none" w:sz="0" w:space="0" w:color="auto"/>
        <w:left w:val="none" w:sz="0" w:space="0" w:color="auto"/>
        <w:bottom w:val="none" w:sz="0" w:space="0" w:color="auto"/>
        <w:right w:val="none" w:sz="0" w:space="0" w:color="auto"/>
      </w:divBdr>
    </w:div>
    <w:div w:id="394008412">
      <w:bodyDiv w:val="1"/>
      <w:marLeft w:val="0"/>
      <w:marRight w:val="0"/>
      <w:marTop w:val="0"/>
      <w:marBottom w:val="0"/>
      <w:divBdr>
        <w:top w:val="none" w:sz="0" w:space="0" w:color="auto"/>
        <w:left w:val="none" w:sz="0" w:space="0" w:color="auto"/>
        <w:bottom w:val="none" w:sz="0" w:space="0" w:color="auto"/>
        <w:right w:val="none" w:sz="0" w:space="0" w:color="auto"/>
      </w:divBdr>
    </w:div>
    <w:div w:id="397747718">
      <w:bodyDiv w:val="1"/>
      <w:marLeft w:val="0"/>
      <w:marRight w:val="0"/>
      <w:marTop w:val="0"/>
      <w:marBottom w:val="0"/>
      <w:divBdr>
        <w:top w:val="none" w:sz="0" w:space="0" w:color="auto"/>
        <w:left w:val="none" w:sz="0" w:space="0" w:color="auto"/>
        <w:bottom w:val="none" w:sz="0" w:space="0" w:color="auto"/>
        <w:right w:val="none" w:sz="0" w:space="0" w:color="auto"/>
      </w:divBdr>
    </w:div>
    <w:div w:id="399136507">
      <w:bodyDiv w:val="1"/>
      <w:marLeft w:val="0"/>
      <w:marRight w:val="0"/>
      <w:marTop w:val="0"/>
      <w:marBottom w:val="0"/>
      <w:divBdr>
        <w:top w:val="none" w:sz="0" w:space="0" w:color="auto"/>
        <w:left w:val="none" w:sz="0" w:space="0" w:color="auto"/>
        <w:bottom w:val="none" w:sz="0" w:space="0" w:color="auto"/>
        <w:right w:val="none" w:sz="0" w:space="0" w:color="auto"/>
      </w:divBdr>
    </w:div>
    <w:div w:id="413163930">
      <w:bodyDiv w:val="1"/>
      <w:marLeft w:val="0"/>
      <w:marRight w:val="0"/>
      <w:marTop w:val="0"/>
      <w:marBottom w:val="0"/>
      <w:divBdr>
        <w:top w:val="none" w:sz="0" w:space="0" w:color="auto"/>
        <w:left w:val="none" w:sz="0" w:space="0" w:color="auto"/>
        <w:bottom w:val="none" w:sz="0" w:space="0" w:color="auto"/>
        <w:right w:val="none" w:sz="0" w:space="0" w:color="auto"/>
      </w:divBdr>
    </w:div>
    <w:div w:id="431123088">
      <w:bodyDiv w:val="1"/>
      <w:marLeft w:val="0"/>
      <w:marRight w:val="0"/>
      <w:marTop w:val="0"/>
      <w:marBottom w:val="0"/>
      <w:divBdr>
        <w:top w:val="none" w:sz="0" w:space="0" w:color="auto"/>
        <w:left w:val="none" w:sz="0" w:space="0" w:color="auto"/>
        <w:bottom w:val="none" w:sz="0" w:space="0" w:color="auto"/>
        <w:right w:val="none" w:sz="0" w:space="0" w:color="auto"/>
      </w:divBdr>
    </w:div>
    <w:div w:id="444622350">
      <w:bodyDiv w:val="1"/>
      <w:marLeft w:val="0"/>
      <w:marRight w:val="0"/>
      <w:marTop w:val="0"/>
      <w:marBottom w:val="0"/>
      <w:divBdr>
        <w:top w:val="none" w:sz="0" w:space="0" w:color="auto"/>
        <w:left w:val="none" w:sz="0" w:space="0" w:color="auto"/>
        <w:bottom w:val="none" w:sz="0" w:space="0" w:color="auto"/>
        <w:right w:val="none" w:sz="0" w:space="0" w:color="auto"/>
      </w:divBdr>
    </w:div>
    <w:div w:id="456799795">
      <w:bodyDiv w:val="1"/>
      <w:marLeft w:val="0"/>
      <w:marRight w:val="0"/>
      <w:marTop w:val="0"/>
      <w:marBottom w:val="0"/>
      <w:divBdr>
        <w:top w:val="none" w:sz="0" w:space="0" w:color="auto"/>
        <w:left w:val="none" w:sz="0" w:space="0" w:color="auto"/>
        <w:bottom w:val="none" w:sz="0" w:space="0" w:color="auto"/>
        <w:right w:val="none" w:sz="0" w:space="0" w:color="auto"/>
      </w:divBdr>
    </w:div>
    <w:div w:id="458763823">
      <w:bodyDiv w:val="1"/>
      <w:marLeft w:val="0"/>
      <w:marRight w:val="0"/>
      <w:marTop w:val="0"/>
      <w:marBottom w:val="0"/>
      <w:divBdr>
        <w:top w:val="none" w:sz="0" w:space="0" w:color="auto"/>
        <w:left w:val="none" w:sz="0" w:space="0" w:color="auto"/>
        <w:bottom w:val="none" w:sz="0" w:space="0" w:color="auto"/>
        <w:right w:val="none" w:sz="0" w:space="0" w:color="auto"/>
      </w:divBdr>
    </w:div>
    <w:div w:id="463890500">
      <w:bodyDiv w:val="1"/>
      <w:marLeft w:val="0"/>
      <w:marRight w:val="0"/>
      <w:marTop w:val="0"/>
      <w:marBottom w:val="0"/>
      <w:divBdr>
        <w:top w:val="none" w:sz="0" w:space="0" w:color="auto"/>
        <w:left w:val="none" w:sz="0" w:space="0" w:color="auto"/>
        <w:bottom w:val="none" w:sz="0" w:space="0" w:color="auto"/>
        <w:right w:val="none" w:sz="0" w:space="0" w:color="auto"/>
      </w:divBdr>
    </w:div>
    <w:div w:id="467627999">
      <w:bodyDiv w:val="1"/>
      <w:marLeft w:val="0"/>
      <w:marRight w:val="0"/>
      <w:marTop w:val="0"/>
      <w:marBottom w:val="0"/>
      <w:divBdr>
        <w:top w:val="none" w:sz="0" w:space="0" w:color="auto"/>
        <w:left w:val="none" w:sz="0" w:space="0" w:color="auto"/>
        <w:bottom w:val="none" w:sz="0" w:space="0" w:color="auto"/>
        <w:right w:val="none" w:sz="0" w:space="0" w:color="auto"/>
      </w:divBdr>
    </w:div>
    <w:div w:id="475537025">
      <w:bodyDiv w:val="1"/>
      <w:marLeft w:val="0"/>
      <w:marRight w:val="0"/>
      <w:marTop w:val="0"/>
      <w:marBottom w:val="0"/>
      <w:divBdr>
        <w:top w:val="none" w:sz="0" w:space="0" w:color="auto"/>
        <w:left w:val="none" w:sz="0" w:space="0" w:color="auto"/>
        <w:bottom w:val="none" w:sz="0" w:space="0" w:color="auto"/>
        <w:right w:val="none" w:sz="0" w:space="0" w:color="auto"/>
      </w:divBdr>
    </w:div>
    <w:div w:id="478116573">
      <w:bodyDiv w:val="1"/>
      <w:marLeft w:val="0"/>
      <w:marRight w:val="0"/>
      <w:marTop w:val="0"/>
      <w:marBottom w:val="0"/>
      <w:divBdr>
        <w:top w:val="none" w:sz="0" w:space="0" w:color="auto"/>
        <w:left w:val="none" w:sz="0" w:space="0" w:color="auto"/>
        <w:bottom w:val="none" w:sz="0" w:space="0" w:color="auto"/>
        <w:right w:val="none" w:sz="0" w:space="0" w:color="auto"/>
      </w:divBdr>
    </w:div>
    <w:div w:id="485365562">
      <w:bodyDiv w:val="1"/>
      <w:marLeft w:val="0"/>
      <w:marRight w:val="0"/>
      <w:marTop w:val="0"/>
      <w:marBottom w:val="0"/>
      <w:divBdr>
        <w:top w:val="none" w:sz="0" w:space="0" w:color="auto"/>
        <w:left w:val="none" w:sz="0" w:space="0" w:color="auto"/>
        <w:bottom w:val="none" w:sz="0" w:space="0" w:color="auto"/>
        <w:right w:val="none" w:sz="0" w:space="0" w:color="auto"/>
      </w:divBdr>
    </w:div>
    <w:div w:id="493224239">
      <w:bodyDiv w:val="1"/>
      <w:marLeft w:val="0"/>
      <w:marRight w:val="0"/>
      <w:marTop w:val="0"/>
      <w:marBottom w:val="0"/>
      <w:divBdr>
        <w:top w:val="none" w:sz="0" w:space="0" w:color="auto"/>
        <w:left w:val="none" w:sz="0" w:space="0" w:color="auto"/>
        <w:bottom w:val="none" w:sz="0" w:space="0" w:color="auto"/>
        <w:right w:val="none" w:sz="0" w:space="0" w:color="auto"/>
      </w:divBdr>
    </w:div>
    <w:div w:id="498622189">
      <w:bodyDiv w:val="1"/>
      <w:marLeft w:val="0"/>
      <w:marRight w:val="0"/>
      <w:marTop w:val="0"/>
      <w:marBottom w:val="0"/>
      <w:divBdr>
        <w:top w:val="none" w:sz="0" w:space="0" w:color="auto"/>
        <w:left w:val="none" w:sz="0" w:space="0" w:color="auto"/>
        <w:bottom w:val="none" w:sz="0" w:space="0" w:color="auto"/>
        <w:right w:val="none" w:sz="0" w:space="0" w:color="auto"/>
      </w:divBdr>
    </w:div>
    <w:div w:id="500580132">
      <w:bodyDiv w:val="1"/>
      <w:marLeft w:val="0"/>
      <w:marRight w:val="0"/>
      <w:marTop w:val="0"/>
      <w:marBottom w:val="0"/>
      <w:divBdr>
        <w:top w:val="none" w:sz="0" w:space="0" w:color="auto"/>
        <w:left w:val="none" w:sz="0" w:space="0" w:color="auto"/>
        <w:bottom w:val="none" w:sz="0" w:space="0" w:color="auto"/>
        <w:right w:val="none" w:sz="0" w:space="0" w:color="auto"/>
      </w:divBdr>
    </w:div>
    <w:div w:id="512231569">
      <w:bodyDiv w:val="1"/>
      <w:marLeft w:val="0"/>
      <w:marRight w:val="0"/>
      <w:marTop w:val="0"/>
      <w:marBottom w:val="0"/>
      <w:divBdr>
        <w:top w:val="none" w:sz="0" w:space="0" w:color="auto"/>
        <w:left w:val="none" w:sz="0" w:space="0" w:color="auto"/>
        <w:bottom w:val="none" w:sz="0" w:space="0" w:color="auto"/>
        <w:right w:val="none" w:sz="0" w:space="0" w:color="auto"/>
      </w:divBdr>
    </w:div>
    <w:div w:id="519706706">
      <w:bodyDiv w:val="1"/>
      <w:marLeft w:val="0"/>
      <w:marRight w:val="0"/>
      <w:marTop w:val="0"/>
      <w:marBottom w:val="0"/>
      <w:divBdr>
        <w:top w:val="none" w:sz="0" w:space="0" w:color="auto"/>
        <w:left w:val="none" w:sz="0" w:space="0" w:color="auto"/>
        <w:bottom w:val="none" w:sz="0" w:space="0" w:color="auto"/>
        <w:right w:val="none" w:sz="0" w:space="0" w:color="auto"/>
      </w:divBdr>
    </w:div>
    <w:div w:id="530455274">
      <w:bodyDiv w:val="1"/>
      <w:marLeft w:val="0"/>
      <w:marRight w:val="0"/>
      <w:marTop w:val="0"/>
      <w:marBottom w:val="0"/>
      <w:divBdr>
        <w:top w:val="none" w:sz="0" w:space="0" w:color="auto"/>
        <w:left w:val="none" w:sz="0" w:space="0" w:color="auto"/>
        <w:bottom w:val="none" w:sz="0" w:space="0" w:color="auto"/>
        <w:right w:val="none" w:sz="0" w:space="0" w:color="auto"/>
      </w:divBdr>
    </w:div>
    <w:div w:id="537863384">
      <w:bodyDiv w:val="1"/>
      <w:marLeft w:val="0"/>
      <w:marRight w:val="0"/>
      <w:marTop w:val="0"/>
      <w:marBottom w:val="0"/>
      <w:divBdr>
        <w:top w:val="none" w:sz="0" w:space="0" w:color="auto"/>
        <w:left w:val="none" w:sz="0" w:space="0" w:color="auto"/>
        <w:bottom w:val="none" w:sz="0" w:space="0" w:color="auto"/>
        <w:right w:val="none" w:sz="0" w:space="0" w:color="auto"/>
      </w:divBdr>
    </w:div>
    <w:div w:id="553734398">
      <w:bodyDiv w:val="1"/>
      <w:marLeft w:val="0"/>
      <w:marRight w:val="0"/>
      <w:marTop w:val="0"/>
      <w:marBottom w:val="0"/>
      <w:divBdr>
        <w:top w:val="none" w:sz="0" w:space="0" w:color="auto"/>
        <w:left w:val="none" w:sz="0" w:space="0" w:color="auto"/>
        <w:bottom w:val="none" w:sz="0" w:space="0" w:color="auto"/>
        <w:right w:val="none" w:sz="0" w:space="0" w:color="auto"/>
      </w:divBdr>
    </w:div>
    <w:div w:id="562522837">
      <w:bodyDiv w:val="1"/>
      <w:marLeft w:val="0"/>
      <w:marRight w:val="0"/>
      <w:marTop w:val="0"/>
      <w:marBottom w:val="0"/>
      <w:divBdr>
        <w:top w:val="none" w:sz="0" w:space="0" w:color="auto"/>
        <w:left w:val="none" w:sz="0" w:space="0" w:color="auto"/>
        <w:bottom w:val="none" w:sz="0" w:space="0" w:color="auto"/>
        <w:right w:val="none" w:sz="0" w:space="0" w:color="auto"/>
      </w:divBdr>
    </w:div>
    <w:div w:id="566110159">
      <w:bodyDiv w:val="1"/>
      <w:marLeft w:val="0"/>
      <w:marRight w:val="0"/>
      <w:marTop w:val="0"/>
      <w:marBottom w:val="0"/>
      <w:divBdr>
        <w:top w:val="none" w:sz="0" w:space="0" w:color="auto"/>
        <w:left w:val="none" w:sz="0" w:space="0" w:color="auto"/>
        <w:bottom w:val="none" w:sz="0" w:space="0" w:color="auto"/>
        <w:right w:val="none" w:sz="0" w:space="0" w:color="auto"/>
      </w:divBdr>
    </w:div>
    <w:div w:id="594244785">
      <w:bodyDiv w:val="1"/>
      <w:marLeft w:val="0"/>
      <w:marRight w:val="0"/>
      <w:marTop w:val="0"/>
      <w:marBottom w:val="0"/>
      <w:divBdr>
        <w:top w:val="none" w:sz="0" w:space="0" w:color="auto"/>
        <w:left w:val="none" w:sz="0" w:space="0" w:color="auto"/>
        <w:bottom w:val="none" w:sz="0" w:space="0" w:color="auto"/>
        <w:right w:val="none" w:sz="0" w:space="0" w:color="auto"/>
      </w:divBdr>
    </w:div>
    <w:div w:id="595988926">
      <w:bodyDiv w:val="1"/>
      <w:marLeft w:val="0"/>
      <w:marRight w:val="0"/>
      <w:marTop w:val="0"/>
      <w:marBottom w:val="0"/>
      <w:divBdr>
        <w:top w:val="none" w:sz="0" w:space="0" w:color="auto"/>
        <w:left w:val="none" w:sz="0" w:space="0" w:color="auto"/>
        <w:bottom w:val="none" w:sz="0" w:space="0" w:color="auto"/>
        <w:right w:val="none" w:sz="0" w:space="0" w:color="auto"/>
      </w:divBdr>
    </w:div>
    <w:div w:id="617030178">
      <w:bodyDiv w:val="1"/>
      <w:marLeft w:val="0"/>
      <w:marRight w:val="0"/>
      <w:marTop w:val="0"/>
      <w:marBottom w:val="0"/>
      <w:divBdr>
        <w:top w:val="none" w:sz="0" w:space="0" w:color="auto"/>
        <w:left w:val="none" w:sz="0" w:space="0" w:color="auto"/>
        <w:bottom w:val="none" w:sz="0" w:space="0" w:color="auto"/>
        <w:right w:val="none" w:sz="0" w:space="0" w:color="auto"/>
      </w:divBdr>
    </w:div>
    <w:div w:id="617568203">
      <w:bodyDiv w:val="1"/>
      <w:marLeft w:val="0"/>
      <w:marRight w:val="0"/>
      <w:marTop w:val="0"/>
      <w:marBottom w:val="0"/>
      <w:divBdr>
        <w:top w:val="none" w:sz="0" w:space="0" w:color="auto"/>
        <w:left w:val="none" w:sz="0" w:space="0" w:color="auto"/>
        <w:bottom w:val="none" w:sz="0" w:space="0" w:color="auto"/>
        <w:right w:val="none" w:sz="0" w:space="0" w:color="auto"/>
      </w:divBdr>
    </w:div>
    <w:div w:id="633566105">
      <w:bodyDiv w:val="1"/>
      <w:marLeft w:val="0"/>
      <w:marRight w:val="0"/>
      <w:marTop w:val="0"/>
      <w:marBottom w:val="0"/>
      <w:divBdr>
        <w:top w:val="none" w:sz="0" w:space="0" w:color="auto"/>
        <w:left w:val="none" w:sz="0" w:space="0" w:color="auto"/>
        <w:bottom w:val="none" w:sz="0" w:space="0" w:color="auto"/>
        <w:right w:val="none" w:sz="0" w:space="0" w:color="auto"/>
      </w:divBdr>
    </w:div>
    <w:div w:id="655573444">
      <w:bodyDiv w:val="1"/>
      <w:marLeft w:val="0"/>
      <w:marRight w:val="0"/>
      <w:marTop w:val="0"/>
      <w:marBottom w:val="0"/>
      <w:divBdr>
        <w:top w:val="none" w:sz="0" w:space="0" w:color="auto"/>
        <w:left w:val="none" w:sz="0" w:space="0" w:color="auto"/>
        <w:bottom w:val="none" w:sz="0" w:space="0" w:color="auto"/>
        <w:right w:val="none" w:sz="0" w:space="0" w:color="auto"/>
      </w:divBdr>
    </w:div>
    <w:div w:id="665089978">
      <w:bodyDiv w:val="1"/>
      <w:marLeft w:val="0"/>
      <w:marRight w:val="0"/>
      <w:marTop w:val="0"/>
      <w:marBottom w:val="0"/>
      <w:divBdr>
        <w:top w:val="none" w:sz="0" w:space="0" w:color="auto"/>
        <w:left w:val="none" w:sz="0" w:space="0" w:color="auto"/>
        <w:bottom w:val="none" w:sz="0" w:space="0" w:color="auto"/>
        <w:right w:val="none" w:sz="0" w:space="0" w:color="auto"/>
      </w:divBdr>
    </w:div>
    <w:div w:id="676613396">
      <w:bodyDiv w:val="1"/>
      <w:marLeft w:val="0"/>
      <w:marRight w:val="0"/>
      <w:marTop w:val="0"/>
      <w:marBottom w:val="0"/>
      <w:divBdr>
        <w:top w:val="none" w:sz="0" w:space="0" w:color="auto"/>
        <w:left w:val="none" w:sz="0" w:space="0" w:color="auto"/>
        <w:bottom w:val="none" w:sz="0" w:space="0" w:color="auto"/>
        <w:right w:val="none" w:sz="0" w:space="0" w:color="auto"/>
      </w:divBdr>
    </w:div>
    <w:div w:id="677318713">
      <w:bodyDiv w:val="1"/>
      <w:marLeft w:val="0"/>
      <w:marRight w:val="0"/>
      <w:marTop w:val="0"/>
      <w:marBottom w:val="0"/>
      <w:divBdr>
        <w:top w:val="none" w:sz="0" w:space="0" w:color="auto"/>
        <w:left w:val="none" w:sz="0" w:space="0" w:color="auto"/>
        <w:bottom w:val="none" w:sz="0" w:space="0" w:color="auto"/>
        <w:right w:val="none" w:sz="0" w:space="0" w:color="auto"/>
      </w:divBdr>
    </w:div>
    <w:div w:id="691608946">
      <w:bodyDiv w:val="1"/>
      <w:marLeft w:val="0"/>
      <w:marRight w:val="0"/>
      <w:marTop w:val="0"/>
      <w:marBottom w:val="0"/>
      <w:divBdr>
        <w:top w:val="none" w:sz="0" w:space="0" w:color="auto"/>
        <w:left w:val="none" w:sz="0" w:space="0" w:color="auto"/>
        <w:bottom w:val="none" w:sz="0" w:space="0" w:color="auto"/>
        <w:right w:val="none" w:sz="0" w:space="0" w:color="auto"/>
      </w:divBdr>
    </w:div>
    <w:div w:id="692610196">
      <w:bodyDiv w:val="1"/>
      <w:marLeft w:val="0"/>
      <w:marRight w:val="0"/>
      <w:marTop w:val="0"/>
      <w:marBottom w:val="0"/>
      <w:divBdr>
        <w:top w:val="none" w:sz="0" w:space="0" w:color="auto"/>
        <w:left w:val="none" w:sz="0" w:space="0" w:color="auto"/>
        <w:bottom w:val="none" w:sz="0" w:space="0" w:color="auto"/>
        <w:right w:val="none" w:sz="0" w:space="0" w:color="auto"/>
      </w:divBdr>
    </w:div>
    <w:div w:id="694768287">
      <w:bodyDiv w:val="1"/>
      <w:marLeft w:val="0"/>
      <w:marRight w:val="0"/>
      <w:marTop w:val="0"/>
      <w:marBottom w:val="0"/>
      <w:divBdr>
        <w:top w:val="none" w:sz="0" w:space="0" w:color="auto"/>
        <w:left w:val="none" w:sz="0" w:space="0" w:color="auto"/>
        <w:bottom w:val="none" w:sz="0" w:space="0" w:color="auto"/>
        <w:right w:val="none" w:sz="0" w:space="0" w:color="auto"/>
      </w:divBdr>
    </w:div>
    <w:div w:id="695807756">
      <w:bodyDiv w:val="1"/>
      <w:marLeft w:val="0"/>
      <w:marRight w:val="0"/>
      <w:marTop w:val="0"/>
      <w:marBottom w:val="0"/>
      <w:divBdr>
        <w:top w:val="none" w:sz="0" w:space="0" w:color="auto"/>
        <w:left w:val="none" w:sz="0" w:space="0" w:color="auto"/>
        <w:bottom w:val="none" w:sz="0" w:space="0" w:color="auto"/>
        <w:right w:val="none" w:sz="0" w:space="0" w:color="auto"/>
      </w:divBdr>
    </w:div>
    <w:div w:id="701326318">
      <w:bodyDiv w:val="1"/>
      <w:marLeft w:val="0"/>
      <w:marRight w:val="0"/>
      <w:marTop w:val="0"/>
      <w:marBottom w:val="0"/>
      <w:divBdr>
        <w:top w:val="none" w:sz="0" w:space="0" w:color="auto"/>
        <w:left w:val="none" w:sz="0" w:space="0" w:color="auto"/>
        <w:bottom w:val="none" w:sz="0" w:space="0" w:color="auto"/>
        <w:right w:val="none" w:sz="0" w:space="0" w:color="auto"/>
      </w:divBdr>
    </w:div>
    <w:div w:id="704326998">
      <w:bodyDiv w:val="1"/>
      <w:marLeft w:val="0"/>
      <w:marRight w:val="0"/>
      <w:marTop w:val="0"/>
      <w:marBottom w:val="0"/>
      <w:divBdr>
        <w:top w:val="none" w:sz="0" w:space="0" w:color="auto"/>
        <w:left w:val="none" w:sz="0" w:space="0" w:color="auto"/>
        <w:bottom w:val="none" w:sz="0" w:space="0" w:color="auto"/>
        <w:right w:val="none" w:sz="0" w:space="0" w:color="auto"/>
      </w:divBdr>
    </w:div>
    <w:div w:id="713500349">
      <w:bodyDiv w:val="1"/>
      <w:marLeft w:val="0"/>
      <w:marRight w:val="0"/>
      <w:marTop w:val="0"/>
      <w:marBottom w:val="0"/>
      <w:divBdr>
        <w:top w:val="none" w:sz="0" w:space="0" w:color="auto"/>
        <w:left w:val="none" w:sz="0" w:space="0" w:color="auto"/>
        <w:bottom w:val="none" w:sz="0" w:space="0" w:color="auto"/>
        <w:right w:val="none" w:sz="0" w:space="0" w:color="auto"/>
      </w:divBdr>
      <w:divsChild>
        <w:div w:id="2135364253">
          <w:marLeft w:val="0"/>
          <w:marRight w:val="0"/>
          <w:marTop w:val="0"/>
          <w:marBottom w:val="0"/>
          <w:divBdr>
            <w:top w:val="none" w:sz="0" w:space="0" w:color="auto"/>
            <w:left w:val="none" w:sz="0" w:space="0" w:color="auto"/>
            <w:bottom w:val="none" w:sz="0" w:space="0" w:color="auto"/>
            <w:right w:val="none" w:sz="0" w:space="0" w:color="auto"/>
          </w:divBdr>
        </w:div>
      </w:divsChild>
    </w:div>
    <w:div w:id="715852538">
      <w:bodyDiv w:val="1"/>
      <w:marLeft w:val="0"/>
      <w:marRight w:val="0"/>
      <w:marTop w:val="0"/>
      <w:marBottom w:val="0"/>
      <w:divBdr>
        <w:top w:val="none" w:sz="0" w:space="0" w:color="auto"/>
        <w:left w:val="none" w:sz="0" w:space="0" w:color="auto"/>
        <w:bottom w:val="none" w:sz="0" w:space="0" w:color="auto"/>
        <w:right w:val="none" w:sz="0" w:space="0" w:color="auto"/>
      </w:divBdr>
    </w:div>
    <w:div w:id="719593899">
      <w:bodyDiv w:val="1"/>
      <w:marLeft w:val="0"/>
      <w:marRight w:val="0"/>
      <w:marTop w:val="0"/>
      <w:marBottom w:val="0"/>
      <w:divBdr>
        <w:top w:val="none" w:sz="0" w:space="0" w:color="auto"/>
        <w:left w:val="none" w:sz="0" w:space="0" w:color="auto"/>
        <w:bottom w:val="none" w:sz="0" w:space="0" w:color="auto"/>
        <w:right w:val="none" w:sz="0" w:space="0" w:color="auto"/>
      </w:divBdr>
    </w:div>
    <w:div w:id="735205333">
      <w:bodyDiv w:val="1"/>
      <w:marLeft w:val="0"/>
      <w:marRight w:val="0"/>
      <w:marTop w:val="0"/>
      <w:marBottom w:val="0"/>
      <w:divBdr>
        <w:top w:val="none" w:sz="0" w:space="0" w:color="auto"/>
        <w:left w:val="none" w:sz="0" w:space="0" w:color="auto"/>
        <w:bottom w:val="none" w:sz="0" w:space="0" w:color="auto"/>
        <w:right w:val="none" w:sz="0" w:space="0" w:color="auto"/>
      </w:divBdr>
    </w:div>
    <w:div w:id="738672482">
      <w:bodyDiv w:val="1"/>
      <w:marLeft w:val="0"/>
      <w:marRight w:val="0"/>
      <w:marTop w:val="0"/>
      <w:marBottom w:val="0"/>
      <w:divBdr>
        <w:top w:val="none" w:sz="0" w:space="0" w:color="auto"/>
        <w:left w:val="none" w:sz="0" w:space="0" w:color="auto"/>
        <w:bottom w:val="none" w:sz="0" w:space="0" w:color="auto"/>
        <w:right w:val="none" w:sz="0" w:space="0" w:color="auto"/>
      </w:divBdr>
    </w:div>
    <w:div w:id="739907428">
      <w:bodyDiv w:val="1"/>
      <w:marLeft w:val="0"/>
      <w:marRight w:val="0"/>
      <w:marTop w:val="0"/>
      <w:marBottom w:val="0"/>
      <w:divBdr>
        <w:top w:val="none" w:sz="0" w:space="0" w:color="auto"/>
        <w:left w:val="none" w:sz="0" w:space="0" w:color="auto"/>
        <w:bottom w:val="none" w:sz="0" w:space="0" w:color="auto"/>
        <w:right w:val="none" w:sz="0" w:space="0" w:color="auto"/>
      </w:divBdr>
    </w:div>
    <w:div w:id="742335984">
      <w:bodyDiv w:val="1"/>
      <w:marLeft w:val="0"/>
      <w:marRight w:val="0"/>
      <w:marTop w:val="0"/>
      <w:marBottom w:val="0"/>
      <w:divBdr>
        <w:top w:val="none" w:sz="0" w:space="0" w:color="auto"/>
        <w:left w:val="none" w:sz="0" w:space="0" w:color="auto"/>
        <w:bottom w:val="none" w:sz="0" w:space="0" w:color="auto"/>
        <w:right w:val="none" w:sz="0" w:space="0" w:color="auto"/>
      </w:divBdr>
    </w:div>
    <w:div w:id="745229622">
      <w:bodyDiv w:val="1"/>
      <w:marLeft w:val="0"/>
      <w:marRight w:val="0"/>
      <w:marTop w:val="0"/>
      <w:marBottom w:val="0"/>
      <w:divBdr>
        <w:top w:val="none" w:sz="0" w:space="0" w:color="auto"/>
        <w:left w:val="none" w:sz="0" w:space="0" w:color="auto"/>
        <w:bottom w:val="none" w:sz="0" w:space="0" w:color="auto"/>
        <w:right w:val="none" w:sz="0" w:space="0" w:color="auto"/>
      </w:divBdr>
    </w:div>
    <w:div w:id="759449766">
      <w:bodyDiv w:val="1"/>
      <w:marLeft w:val="0"/>
      <w:marRight w:val="0"/>
      <w:marTop w:val="0"/>
      <w:marBottom w:val="0"/>
      <w:divBdr>
        <w:top w:val="none" w:sz="0" w:space="0" w:color="auto"/>
        <w:left w:val="none" w:sz="0" w:space="0" w:color="auto"/>
        <w:bottom w:val="none" w:sz="0" w:space="0" w:color="auto"/>
        <w:right w:val="none" w:sz="0" w:space="0" w:color="auto"/>
      </w:divBdr>
    </w:div>
    <w:div w:id="778985566">
      <w:bodyDiv w:val="1"/>
      <w:marLeft w:val="0"/>
      <w:marRight w:val="0"/>
      <w:marTop w:val="0"/>
      <w:marBottom w:val="0"/>
      <w:divBdr>
        <w:top w:val="none" w:sz="0" w:space="0" w:color="auto"/>
        <w:left w:val="none" w:sz="0" w:space="0" w:color="auto"/>
        <w:bottom w:val="none" w:sz="0" w:space="0" w:color="auto"/>
        <w:right w:val="none" w:sz="0" w:space="0" w:color="auto"/>
      </w:divBdr>
    </w:div>
    <w:div w:id="783576584">
      <w:bodyDiv w:val="1"/>
      <w:marLeft w:val="0"/>
      <w:marRight w:val="0"/>
      <w:marTop w:val="0"/>
      <w:marBottom w:val="0"/>
      <w:divBdr>
        <w:top w:val="none" w:sz="0" w:space="0" w:color="auto"/>
        <w:left w:val="none" w:sz="0" w:space="0" w:color="auto"/>
        <w:bottom w:val="none" w:sz="0" w:space="0" w:color="auto"/>
        <w:right w:val="none" w:sz="0" w:space="0" w:color="auto"/>
      </w:divBdr>
    </w:div>
    <w:div w:id="785350390">
      <w:bodyDiv w:val="1"/>
      <w:marLeft w:val="0"/>
      <w:marRight w:val="0"/>
      <w:marTop w:val="0"/>
      <w:marBottom w:val="0"/>
      <w:divBdr>
        <w:top w:val="none" w:sz="0" w:space="0" w:color="auto"/>
        <w:left w:val="none" w:sz="0" w:space="0" w:color="auto"/>
        <w:bottom w:val="none" w:sz="0" w:space="0" w:color="auto"/>
        <w:right w:val="none" w:sz="0" w:space="0" w:color="auto"/>
      </w:divBdr>
    </w:div>
    <w:div w:id="802577437">
      <w:bodyDiv w:val="1"/>
      <w:marLeft w:val="0"/>
      <w:marRight w:val="0"/>
      <w:marTop w:val="0"/>
      <w:marBottom w:val="0"/>
      <w:divBdr>
        <w:top w:val="none" w:sz="0" w:space="0" w:color="auto"/>
        <w:left w:val="none" w:sz="0" w:space="0" w:color="auto"/>
        <w:bottom w:val="none" w:sz="0" w:space="0" w:color="auto"/>
        <w:right w:val="none" w:sz="0" w:space="0" w:color="auto"/>
      </w:divBdr>
    </w:div>
    <w:div w:id="808548504">
      <w:bodyDiv w:val="1"/>
      <w:marLeft w:val="0"/>
      <w:marRight w:val="0"/>
      <w:marTop w:val="0"/>
      <w:marBottom w:val="0"/>
      <w:divBdr>
        <w:top w:val="none" w:sz="0" w:space="0" w:color="auto"/>
        <w:left w:val="none" w:sz="0" w:space="0" w:color="auto"/>
        <w:bottom w:val="none" w:sz="0" w:space="0" w:color="auto"/>
        <w:right w:val="none" w:sz="0" w:space="0" w:color="auto"/>
      </w:divBdr>
    </w:div>
    <w:div w:id="808592364">
      <w:bodyDiv w:val="1"/>
      <w:marLeft w:val="0"/>
      <w:marRight w:val="0"/>
      <w:marTop w:val="0"/>
      <w:marBottom w:val="0"/>
      <w:divBdr>
        <w:top w:val="none" w:sz="0" w:space="0" w:color="auto"/>
        <w:left w:val="none" w:sz="0" w:space="0" w:color="auto"/>
        <w:bottom w:val="none" w:sz="0" w:space="0" w:color="auto"/>
        <w:right w:val="none" w:sz="0" w:space="0" w:color="auto"/>
      </w:divBdr>
    </w:div>
    <w:div w:id="808937815">
      <w:bodyDiv w:val="1"/>
      <w:marLeft w:val="0"/>
      <w:marRight w:val="0"/>
      <w:marTop w:val="0"/>
      <w:marBottom w:val="0"/>
      <w:divBdr>
        <w:top w:val="none" w:sz="0" w:space="0" w:color="auto"/>
        <w:left w:val="none" w:sz="0" w:space="0" w:color="auto"/>
        <w:bottom w:val="none" w:sz="0" w:space="0" w:color="auto"/>
        <w:right w:val="none" w:sz="0" w:space="0" w:color="auto"/>
      </w:divBdr>
    </w:div>
    <w:div w:id="825439535">
      <w:bodyDiv w:val="1"/>
      <w:marLeft w:val="0"/>
      <w:marRight w:val="0"/>
      <w:marTop w:val="0"/>
      <w:marBottom w:val="0"/>
      <w:divBdr>
        <w:top w:val="none" w:sz="0" w:space="0" w:color="auto"/>
        <w:left w:val="none" w:sz="0" w:space="0" w:color="auto"/>
        <w:bottom w:val="none" w:sz="0" w:space="0" w:color="auto"/>
        <w:right w:val="none" w:sz="0" w:space="0" w:color="auto"/>
      </w:divBdr>
    </w:div>
    <w:div w:id="843007345">
      <w:bodyDiv w:val="1"/>
      <w:marLeft w:val="0"/>
      <w:marRight w:val="0"/>
      <w:marTop w:val="0"/>
      <w:marBottom w:val="0"/>
      <w:divBdr>
        <w:top w:val="none" w:sz="0" w:space="0" w:color="auto"/>
        <w:left w:val="none" w:sz="0" w:space="0" w:color="auto"/>
        <w:bottom w:val="none" w:sz="0" w:space="0" w:color="auto"/>
        <w:right w:val="none" w:sz="0" w:space="0" w:color="auto"/>
      </w:divBdr>
    </w:div>
    <w:div w:id="845166890">
      <w:bodyDiv w:val="1"/>
      <w:marLeft w:val="0"/>
      <w:marRight w:val="0"/>
      <w:marTop w:val="0"/>
      <w:marBottom w:val="0"/>
      <w:divBdr>
        <w:top w:val="none" w:sz="0" w:space="0" w:color="auto"/>
        <w:left w:val="none" w:sz="0" w:space="0" w:color="auto"/>
        <w:bottom w:val="none" w:sz="0" w:space="0" w:color="auto"/>
        <w:right w:val="none" w:sz="0" w:space="0" w:color="auto"/>
      </w:divBdr>
    </w:div>
    <w:div w:id="854806928">
      <w:bodyDiv w:val="1"/>
      <w:marLeft w:val="0"/>
      <w:marRight w:val="0"/>
      <w:marTop w:val="0"/>
      <w:marBottom w:val="0"/>
      <w:divBdr>
        <w:top w:val="none" w:sz="0" w:space="0" w:color="auto"/>
        <w:left w:val="none" w:sz="0" w:space="0" w:color="auto"/>
        <w:bottom w:val="none" w:sz="0" w:space="0" w:color="auto"/>
        <w:right w:val="none" w:sz="0" w:space="0" w:color="auto"/>
      </w:divBdr>
    </w:div>
    <w:div w:id="856118179">
      <w:bodyDiv w:val="1"/>
      <w:marLeft w:val="0"/>
      <w:marRight w:val="0"/>
      <w:marTop w:val="0"/>
      <w:marBottom w:val="0"/>
      <w:divBdr>
        <w:top w:val="none" w:sz="0" w:space="0" w:color="auto"/>
        <w:left w:val="none" w:sz="0" w:space="0" w:color="auto"/>
        <w:bottom w:val="none" w:sz="0" w:space="0" w:color="auto"/>
        <w:right w:val="none" w:sz="0" w:space="0" w:color="auto"/>
      </w:divBdr>
    </w:div>
    <w:div w:id="865943425">
      <w:bodyDiv w:val="1"/>
      <w:marLeft w:val="0"/>
      <w:marRight w:val="0"/>
      <w:marTop w:val="0"/>
      <w:marBottom w:val="0"/>
      <w:divBdr>
        <w:top w:val="none" w:sz="0" w:space="0" w:color="auto"/>
        <w:left w:val="none" w:sz="0" w:space="0" w:color="auto"/>
        <w:bottom w:val="none" w:sz="0" w:space="0" w:color="auto"/>
        <w:right w:val="none" w:sz="0" w:space="0" w:color="auto"/>
      </w:divBdr>
    </w:div>
    <w:div w:id="870073358">
      <w:bodyDiv w:val="1"/>
      <w:marLeft w:val="0"/>
      <w:marRight w:val="0"/>
      <w:marTop w:val="0"/>
      <w:marBottom w:val="0"/>
      <w:divBdr>
        <w:top w:val="none" w:sz="0" w:space="0" w:color="auto"/>
        <w:left w:val="none" w:sz="0" w:space="0" w:color="auto"/>
        <w:bottom w:val="none" w:sz="0" w:space="0" w:color="auto"/>
        <w:right w:val="none" w:sz="0" w:space="0" w:color="auto"/>
      </w:divBdr>
    </w:div>
    <w:div w:id="884220156">
      <w:bodyDiv w:val="1"/>
      <w:marLeft w:val="0"/>
      <w:marRight w:val="0"/>
      <w:marTop w:val="0"/>
      <w:marBottom w:val="0"/>
      <w:divBdr>
        <w:top w:val="none" w:sz="0" w:space="0" w:color="auto"/>
        <w:left w:val="none" w:sz="0" w:space="0" w:color="auto"/>
        <w:bottom w:val="none" w:sz="0" w:space="0" w:color="auto"/>
        <w:right w:val="none" w:sz="0" w:space="0" w:color="auto"/>
      </w:divBdr>
    </w:div>
    <w:div w:id="897976456">
      <w:bodyDiv w:val="1"/>
      <w:marLeft w:val="0"/>
      <w:marRight w:val="0"/>
      <w:marTop w:val="0"/>
      <w:marBottom w:val="0"/>
      <w:divBdr>
        <w:top w:val="none" w:sz="0" w:space="0" w:color="auto"/>
        <w:left w:val="none" w:sz="0" w:space="0" w:color="auto"/>
        <w:bottom w:val="none" w:sz="0" w:space="0" w:color="auto"/>
        <w:right w:val="none" w:sz="0" w:space="0" w:color="auto"/>
      </w:divBdr>
    </w:div>
    <w:div w:id="901332982">
      <w:bodyDiv w:val="1"/>
      <w:marLeft w:val="0"/>
      <w:marRight w:val="0"/>
      <w:marTop w:val="0"/>
      <w:marBottom w:val="0"/>
      <w:divBdr>
        <w:top w:val="none" w:sz="0" w:space="0" w:color="auto"/>
        <w:left w:val="none" w:sz="0" w:space="0" w:color="auto"/>
        <w:bottom w:val="none" w:sz="0" w:space="0" w:color="auto"/>
        <w:right w:val="none" w:sz="0" w:space="0" w:color="auto"/>
      </w:divBdr>
    </w:div>
    <w:div w:id="913390279">
      <w:bodyDiv w:val="1"/>
      <w:marLeft w:val="0"/>
      <w:marRight w:val="0"/>
      <w:marTop w:val="0"/>
      <w:marBottom w:val="0"/>
      <w:divBdr>
        <w:top w:val="none" w:sz="0" w:space="0" w:color="auto"/>
        <w:left w:val="none" w:sz="0" w:space="0" w:color="auto"/>
        <w:bottom w:val="none" w:sz="0" w:space="0" w:color="auto"/>
        <w:right w:val="none" w:sz="0" w:space="0" w:color="auto"/>
      </w:divBdr>
    </w:div>
    <w:div w:id="925574444">
      <w:bodyDiv w:val="1"/>
      <w:marLeft w:val="0"/>
      <w:marRight w:val="0"/>
      <w:marTop w:val="0"/>
      <w:marBottom w:val="0"/>
      <w:divBdr>
        <w:top w:val="none" w:sz="0" w:space="0" w:color="auto"/>
        <w:left w:val="none" w:sz="0" w:space="0" w:color="auto"/>
        <w:bottom w:val="none" w:sz="0" w:space="0" w:color="auto"/>
        <w:right w:val="none" w:sz="0" w:space="0" w:color="auto"/>
      </w:divBdr>
    </w:div>
    <w:div w:id="928808225">
      <w:bodyDiv w:val="1"/>
      <w:marLeft w:val="0"/>
      <w:marRight w:val="0"/>
      <w:marTop w:val="0"/>
      <w:marBottom w:val="0"/>
      <w:divBdr>
        <w:top w:val="none" w:sz="0" w:space="0" w:color="auto"/>
        <w:left w:val="none" w:sz="0" w:space="0" w:color="auto"/>
        <w:bottom w:val="none" w:sz="0" w:space="0" w:color="auto"/>
        <w:right w:val="none" w:sz="0" w:space="0" w:color="auto"/>
      </w:divBdr>
    </w:div>
    <w:div w:id="930548843">
      <w:bodyDiv w:val="1"/>
      <w:marLeft w:val="0"/>
      <w:marRight w:val="0"/>
      <w:marTop w:val="0"/>
      <w:marBottom w:val="0"/>
      <w:divBdr>
        <w:top w:val="none" w:sz="0" w:space="0" w:color="auto"/>
        <w:left w:val="none" w:sz="0" w:space="0" w:color="auto"/>
        <w:bottom w:val="none" w:sz="0" w:space="0" w:color="auto"/>
        <w:right w:val="none" w:sz="0" w:space="0" w:color="auto"/>
      </w:divBdr>
    </w:div>
    <w:div w:id="942374526">
      <w:bodyDiv w:val="1"/>
      <w:marLeft w:val="0"/>
      <w:marRight w:val="0"/>
      <w:marTop w:val="0"/>
      <w:marBottom w:val="0"/>
      <w:divBdr>
        <w:top w:val="none" w:sz="0" w:space="0" w:color="auto"/>
        <w:left w:val="none" w:sz="0" w:space="0" w:color="auto"/>
        <w:bottom w:val="none" w:sz="0" w:space="0" w:color="auto"/>
        <w:right w:val="none" w:sz="0" w:space="0" w:color="auto"/>
      </w:divBdr>
    </w:div>
    <w:div w:id="943879693">
      <w:bodyDiv w:val="1"/>
      <w:marLeft w:val="0"/>
      <w:marRight w:val="0"/>
      <w:marTop w:val="0"/>
      <w:marBottom w:val="0"/>
      <w:divBdr>
        <w:top w:val="none" w:sz="0" w:space="0" w:color="auto"/>
        <w:left w:val="none" w:sz="0" w:space="0" w:color="auto"/>
        <w:bottom w:val="none" w:sz="0" w:space="0" w:color="auto"/>
        <w:right w:val="none" w:sz="0" w:space="0" w:color="auto"/>
      </w:divBdr>
    </w:div>
    <w:div w:id="945161749">
      <w:bodyDiv w:val="1"/>
      <w:marLeft w:val="0"/>
      <w:marRight w:val="0"/>
      <w:marTop w:val="0"/>
      <w:marBottom w:val="0"/>
      <w:divBdr>
        <w:top w:val="none" w:sz="0" w:space="0" w:color="auto"/>
        <w:left w:val="none" w:sz="0" w:space="0" w:color="auto"/>
        <w:bottom w:val="none" w:sz="0" w:space="0" w:color="auto"/>
        <w:right w:val="none" w:sz="0" w:space="0" w:color="auto"/>
      </w:divBdr>
    </w:div>
    <w:div w:id="981081301">
      <w:bodyDiv w:val="1"/>
      <w:marLeft w:val="0"/>
      <w:marRight w:val="0"/>
      <w:marTop w:val="0"/>
      <w:marBottom w:val="0"/>
      <w:divBdr>
        <w:top w:val="none" w:sz="0" w:space="0" w:color="auto"/>
        <w:left w:val="none" w:sz="0" w:space="0" w:color="auto"/>
        <w:bottom w:val="none" w:sz="0" w:space="0" w:color="auto"/>
        <w:right w:val="none" w:sz="0" w:space="0" w:color="auto"/>
      </w:divBdr>
    </w:div>
    <w:div w:id="985011942">
      <w:bodyDiv w:val="1"/>
      <w:marLeft w:val="0"/>
      <w:marRight w:val="0"/>
      <w:marTop w:val="0"/>
      <w:marBottom w:val="0"/>
      <w:divBdr>
        <w:top w:val="none" w:sz="0" w:space="0" w:color="auto"/>
        <w:left w:val="none" w:sz="0" w:space="0" w:color="auto"/>
        <w:bottom w:val="none" w:sz="0" w:space="0" w:color="auto"/>
        <w:right w:val="none" w:sz="0" w:space="0" w:color="auto"/>
      </w:divBdr>
    </w:div>
    <w:div w:id="986473284">
      <w:bodyDiv w:val="1"/>
      <w:marLeft w:val="0"/>
      <w:marRight w:val="0"/>
      <w:marTop w:val="0"/>
      <w:marBottom w:val="0"/>
      <w:divBdr>
        <w:top w:val="none" w:sz="0" w:space="0" w:color="auto"/>
        <w:left w:val="none" w:sz="0" w:space="0" w:color="auto"/>
        <w:bottom w:val="none" w:sz="0" w:space="0" w:color="auto"/>
        <w:right w:val="none" w:sz="0" w:space="0" w:color="auto"/>
      </w:divBdr>
    </w:div>
    <w:div w:id="1014653432">
      <w:bodyDiv w:val="1"/>
      <w:marLeft w:val="0"/>
      <w:marRight w:val="0"/>
      <w:marTop w:val="0"/>
      <w:marBottom w:val="0"/>
      <w:divBdr>
        <w:top w:val="none" w:sz="0" w:space="0" w:color="auto"/>
        <w:left w:val="none" w:sz="0" w:space="0" w:color="auto"/>
        <w:bottom w:val="none" w:sz="0" w:space="0" w:color="auto"/>
        <w:right w:val="none" w:sz="0" w:space="0" w:color="auto"/>
      </w:divBdr>
    </w:div>
    <w:div w:id="1020156624">
      <w:bodyDiv w:val="1"/>
      <w:marLeft w:val="0"/>
      <w:marRight w:val="0"/>
      <w:marTop w:val="0"/>
      <w:marBottom w:val="0"/>
      <w:divBdr>
        <w:top w:val="none" w:sz="0" w:space="0" w:color="auto"/>
        <w:left w:val="none" w:sz="0" w:space="0" w:color="auto"/>
        <w:bottom w:val="none" w:sz="0" w:space="0" w:color="auto"/>
        <w:right w:val="none" w:sz="0" w:space="0" w:color="auto"/>
      </w:divBdr>
    </w:div>
    <w:div w:id="1037317981">
      <w:bodyDiv w:val="1"/>
      <w:marLeft w:val="0"/>
      <w:marRight w:val="0"/>
      <w:marTop w:val="0"/>
      <w:marBottom w:val="0"/>
      <w:divBdr>
        <w:top w:val="none" w:sz="0" w:space="0" w:color="auto"/>
        <w:left w:val="none" w:sz="0" w:space="0" w:color="auto"/>
        <w:bottom w:val="none" w:sz="0" w:space="0" w:color="auto"/>
        <w:right w:val="none" w:sz="0" w:space="0" w:color="auto"/>
      </w:divBdr>
    </w:div>
    <w:div w:id="1048450825">
      <w:bodyDiv w:val="1"/>
      <w:marLeft w:val="0"/>
      <w:marRight w:val="0"/>
      <w:marTop w:val="0"/>
      <w:marBottom w:val="0"/>
      <w:divBdr>
        <w:top w:val="none" w:sz="0" w:space="0" w:color="auto"/>
        <w:left w:val="none" w:sz="0" w:space="0" w:color="auto"/>
        <w:bottom w:val="none" w:sz="0" w:space="0" w:color="auto"/>
        <w:right w:val="none" w:sz="0" w:space="0" w:color="auto"/>
      </w:divBdr>
    </w:div>
    <w:div w:id="1082947986">
      <w:bodyDiv w:val="1"/>
      <w:marLeft w:val="0"/>
      <w:marRight w:val="0"/>
      <w:marTop w:val="0"/>
      <w:marBottom w:val="0"/>
      <w:divBdr>
        <w:top w:val="none" w:sz="0" w:space="0" w:color="auto"/>
        <w:left w:val="none" w:sz="0" w:space="0" w:color="auto"/>
        <w:bottom w:val="none" w:sz="0" w:space="0" w:color="auto"/>
        <w:right w:val="none" w:sz="0" w:space="0" w:color="auto"/>
      </w:divBdr>
    </w:div>
    <w:div w:id="1099448878">
      <w:bodyDiv w:val="1"/>
      <w:marLeft w:val="0"/>
      <w:marRight w:val="0"/>
      <w:marTop w:val="0"/>
      <w:marBottom w:val="0"/>
      <w:divBdr>
        <w:top w:val="none" w:sz="0" w:space="0" w:color="auto"/>
        <w:left w:val="none" w:sz="0" w:space="0" w:color="auto"/>
        <w:bottom w:val="none" w:sz="0" w:space="0" w:color="auto"/>
        <w:right w:val="none" w:sz="0" w:space="0" w:color="auto"/>
      </w:divBdr>
    </w:div>
    <w:div w:id="1106269128">
      <w:bodyDiv w:val="1"/>
      <w:marLeft w:val="0"/>
      <w:marRight w:val="0"/>
      <w:marTop w:val="0"/>
      <w:marBottom w:val="0"/>
      <w:divBdr>
        <w:top w:val="none" w:sz="0" w:space="0" w:color="auto"/>
        <w:left w:val="none" w:sz="0" w:space="0" w:color="auto"/>
        <w:bottom w:val="none" w:sz="0" w:space="0" w:color="auto"/>
        <w:right w:val="none" w:sz="0" w:space="0" w:color="auto"/>
      </w:divBdr>
    </w:div>
    <w:div w:id="1125931226">
      <w:bodyDiv w:val="1"/>
      <w:marLeft w:val="0"/>
      <w:marRight w:val="0"/>
      <w:marTop w:val="0"/>
      <w:marBottom w:val="0"/>
      <w:divBdr>
        <w:top w:val="none" w:sz="0" w:space="0" w:color="auto"/>
        <w:left w:val="none" w:sz="0" w:space="0" w:color="auto"/>
        <w:bottom w:val="none" w:sz="0" w:space="0" w:color="auto"/>
        <w:right w:val="none" w:sz="0" w:space="0" w:color="auto"/>
      </w:divBdr>
    </w:div>
    <w:div w:id="1129936564">
      <w:bodyDiv w:val="1"/>
      <w:marLeft w:val="0"/>
      <w:marRight w:val="0"/>
      <w:marTop w:val="0"/>
      <w:marBottom w:val="0"/>
      <w:divBdr>
        <w:top w:val="none" w:sz="0" w:space="0" w:color="auto"/>
        <w:left w:val="none" w:sz="0" w:space="0" w:color="auto"/>
        <w:bottom w:val="none" w:sz="0" w:space="0" w:color="auto"/>
        <w:right w:val="none" w:sz="0" w:space="0" w:color="auto"/>
      </w:divBdr>
    </w:div>
    <w:div w:id="1146430219">
      <w:bodyDiv w:val="1"/>
      <w:marLeft w:val="0"/>
      <w:marRight w:val="0"/>
      <w:marTop w:val="0"/>
      <w:marBottom w:val="0"/>
      <w:divBdr>
        <w:top w:val="none" w:sz="0" w:space="0" w:color="auto"/>
        <w:left w:val="none" w:sz="0" w:space="0" w:color="auto"/>
        <w:bottom w:val="none" w:sz="0" w:space="0" w:color="auto"/>
        <w:right w:val="none" w:sz="0" w:space="0" w:color="auto"/>
      </w:divBdr>
    </w:div>
    <w:div w:id="1156456284">
      <w:bodyDiv w:val="1"/>
      <w:marLeft w:val="0"/>
      <w:marRight w:val="0"/>
      <w:marTop w:val="0"/>
      <w:marBottom w:val="0"/>
      <w:divBdr>
        <w:top w:val="none" w:sz="0" w:space="0" w:color="auto"/>
        <w:left w:val="none" w:sz="0" w:space="0" w:color="auto"/>
        <w:bottom w:val="none" w:sz="0" w:space="0" w:color="auto"/>
        <w:right w:val="none" w:sz="0" w:space="0" w:color="auto"/>
      </w:divBdr>
    </w:div>
    <w:div w:id="1166363486">
      <w:bodyDiv w:val="1"/>
      <w:marLeft w:val="0"/>
      <w:marRight w:val="0"/>
      <w:marTop w:val="0"/>
      <w:marBottom w:val="0"/>
      <w:divBdr>
        <w:top w:val="none" w:sz="0" w:space="0" w:color="auto"/>
        <w:left w:val="none" w:sz="0" w:space="0" w:color="auto"/>
        <w:bottom w:val="none" w:sz="0" w:space="0" w:color="auto"/>
        <w:right w:val="none" w:sz="0" w:space="0" w:color="auto"/>
      </w:divBdr>
    </w:div>
    <w:div w:id="1166748897">
      <w:bodyDiv w:val="1"/>
      <w:marLeft w:val="0"/>
      <w:marRight w:val="0"/>
      <w:marTop w:val="0"/>
      <w:marBottom w:val="0"/>
      <w:divBdr>
        <w:top w:val="none" w:sz="0" w:space="0" w:color="auto"/>
        <w:left w:val="none" w:sz="0" w:space="0" w:color="auto"/>
        <w:bottom w:val="none" w:sz="0" w:space="0" w:color="auto"/>
        <w:right w:val="none" w:sz="0" w:space="0" w:color="auto"/>
      </w:divBdr>
    </w:div>
    <w:div w:id="1182087727">
      <w:bodyDiv w:val="1"/>
      <w:marLeft w:val="0"/>
      <w:marRight w:val="0"/>
      <w:marTop w:val="0"/>
      <w:marBottom w:val="0"/>
      <w:divBdr>
        <w:top w:val="none" w:sz="0" w:space="0" w:color="auto"/>
        <w:left w:val="none" w:sz="0" w:space="0" w:color="auto"/>
        <w:bottom w:val="none" w:sz="0" w:space="0" w:color="auto"/>
        <w:right w:val="none" w:sz="0" w:space="0" w:color="auto"/>
      </w:divBdr>
    </w:div>
    <w:div w:id="1185708793">
      <w:bodyDiv w:val="1"/>
      <w:marLeft w:val="0"/>
      <w:marRight w:val="0"/>
      <w:marTop w:val="0"/>
      <w:marBottom w:val="0"/>
      <w:divBdr>
        <w:top w:val="none" w:sz="0" w:space="0" w:color="auto"/>
        <w:left w:val="none" w:sz="0" w:space="0" w:color="auto"/>
        <w:bottom w:val="none" w:sz="0" w:space="0" w:color="auto"/>
        <w:right w:val="none" w:sz="0" w:space="0" w:color="auto"/>
      </w:divBdr>
    </w:div>
    <w:div w:id="1229195592">
      <w:bodyDiv w:val="1"/>
      <w:marLeft w:val="0"/>
      <w:marRight w:val="0"/>
      <w:marTop w:val="0"/>
      <w:marBottom w:val="0"/>
      <w:divBdr>
        <w:top w:val="none" w:sz="0" w:space="0" w:color="auto"/>
        <w:left w:val="none" w:sz="0" w:space="0" w:color="auto"/>
        <w:bottom w:val="none" w:sz="0" w:space="0" w:color="auto"/>
        <w:right w:val="none" w:sz="0" w:space="0" w:color="auto"/>
      </w:divBdr>
    </w:div>
    <w:div w:id="1231233420">
      <w:bodyDiv w:val="1"/>
      <w:marLeft w:val="0"/>
      <w:marRight w:val="0"/>
      <w:marTop w:val="0"/>
      <w:marBottom w:val="0"/>
      <w:divBdr>
        <w:top w:val="none" w:sz="0" w:space="0" w:color="auto"/>
        <w:left w:val="none" w:sz="0" w:space="0" w:color="auto"/>
        <w:bottom w:val="none" w:sz="0" w:space="0" w:color="auto"/>
        <w:right w:val="none" w:sz="0" w:space="0" w:color="auto"/>
      </w:divBdr>
    </w:div>
    <w:div w:id="1235356289">
      <w:bodyDiv w:val="1"/>
      <w:marLeft w:val="0"/>
      <w:marRight w:val="0"/>
      <w:marTop w:val="0"/>
      <w:marBottom w:val="0"/>
      <w:divBdr>
        <w:top w:val="none" w:sz="0" w:space="0" w:color="auto"/>
        <w:left w:val="none" w:sz="0" w:space="0" w:color="auto"/>
        <w:bottom w:val="none" w:sz="0" w:space="0" w:color="auto"/>
        <w:right w:val="none" w:sz="0" w:space="0" w:color="auto"/>
      </w:divBdr>
    </w:div>
    <w:div w:id="1247763845">
      <w:bodyDiv w:val="1"/>
      <w:marLeft w:val="0"/>
      <w:marRight w:val="0"/>
      <w:marTop w:val="0"/>
      <w:marBottom w:val="0"/>
      <w:divBdr>
        <w:top w:val="none" w:sz="0" w:space="0" w:color="auto"/>
        <w:left w:val="none" w:sz="0" w:space="0" w:color="auto"/>
        <w:bottom w:val="none" w:sz="0" w:space="0" w:color="auto"/>
        <w:right w:val="none" w:sz="0" w:space="0" w:color="auto"/>
      </w:divBdr>
    </w:div>
    <w:div w:id="1248732857">
      <w:bodyDiv w:val="1"/>
      <w:marLeft w:val="0"/>
      <w:marRight w:val="0"/>
      <w:marTop w:val="0"/>
      <w:marBottom w:val="0"/>
      <w:divBdr>
        <w:top w:val="none" w:sz="0" w:space="0" w:color="auto"/>
        <w:left w:val="none" w:sz="0" w:space="0" w:color="auto"/>
        <w:bottom w:val="none" w:sz="0" w:space="0" w:color="auto"/>
        <w:right w:val="none" w:sz="0" w:space="0" w:color="auto"/>
      </w:divBdr>
    </w:div>
    <w:div w:id="1254050079">
      <w:bodyDiv w:val="1"/>
      <w:marLeft w:val="0"/>
      <w:marRight w:val="0"/>
      <w:marTop w:val="0"/>
      <w:marBottom w:val="0"/>
      <w:divBdr>
        <w:top w:val="none" w:sz="0" w:space="0" w:color="auto"/>
        <w:left w:val="none" w:sz="0" w:space="0" w:color="auto"/>
        <w:bottom w:val="none" w:sz="0" w:space="0" w:color="auto"/>
        <w:right w:val="none" w:sz="0" w:space="0" w:color="auto"/>
      </w:divBdr>
    </w:div>
    <w:div w:id="1260718039">
      <w:bodyDiv w:val="1"/>
      <w:marLeft w:val="0"/>
      <w:marRight w:val="0"/>
      <w:marTop w:val="0"/>
      <w:marBottom w:val="0"/>
      <w:divBdr>
        <w:top w:val="none" w:sz="0" w:space="0" w:color="auto"/>
        <w:left w:val="none" w:sz="0" w:space="0" w:color="auto"/>
        <w:bottom w:val="none" w:sz="0" w:space="0" w:color="auto"/>
        <w:right w:val="none" w:sz="0" w:space="0" w:color="auto"/>
      </w:divBdr>
    </w:div>
    <w:div w:id="1261721599">
      <w:bodyDiv w:val="1"/>
      <w:marLeft w:val="0"/>
      <w:marRight w:val="0"/>
      <w:marTop w:val="0"/>
      <w:marBottom w:val="0"/>
      <w:divBdr>
        <w:top w:val="none" w:sz="0" w:space="0" w:color="auto"/>
        <w:left w:val="none" w:sz="0" w:space="0" w:color="auto"/>
        <w:bottom w:val="none" w:sz="0" w:space="0" w:color="auto"/>
        <w:right w:val="none" w:sz="0" w:space="0" w:color="auto"/>
      </w:divBdr>
    </w:div>
    <w:div w:id="1263489092">
      <w:bodyDiv w:val="1"/>
      <w:marLeft w:val="0"/>
      <w:marRight w:val="0"/>
      <w:marTop w:val="0"/>
      <w:marBottom w:val="0"/>
      <w:divBdr>
        <w:top w:val="none" w:sz="0" w:space="0" w:color="auto"/>
        <w:left w:val="none" w:sz="0" w:space="0" w:color="auto"/>
        <w:bottom w:val="none" w:sz="0" w:space="0" w:color="auto"/>
        <w:right w:val="none" w:sz="0" w:space="0" w:color="auto"/>
      </w:divBdr>
    </w:div>
    <w:div w:id="1269510171">
      <w:bodyDiv w:val="1"/>
      <w:marLeft w:val="0"/>
      <w:marRight w:val="0"/>
      <w:marTop w:val="0"/>
      <w:marBottom w:val="0"/>
      <w:divBdr>
        <w:top w:val="none" w:sz="0" w:space="0" w:color="auto"/>
        <w:left w:val="none" w:sz="0" w:space="0" w:color="auto"/>
        <w:bottom w:val="none" w:sz="0" w:space="0" w:color="auto"/>
        <w:right w:val="none" w:sz="0" w:space="0" w:color="auto"/>
      </w:divBdr>
    </w:div>
    <w:div w:id="1273125931">
      <w:bodyDiv w:val="1"/>
      <w:marLeft w:val="0"/>
      <w:marRight w:val="0"/>
      <w:marTop w:val="0"/>
      <w:marBottom w:val="0"/>
      <w:divBdr>
        <w:top w:val="none" w:sz="0" w:space="0" w:color="auto"/>
        <w:left w:val="none" w:sz="0" w:space="0" w:color="auto"/>
        <w:bottom w:val="none" w:sz="0" w:space="0" w:color="auto"/>
        <w:right w:val="none" w:sz="0" w:space="0" w:color="auto"/>
      </w:divBdr>
    </w:div>
    <w:div w:id="1277909810">
      <w:bodyDiv w:val="1"/>
      <w:marLeft w:val="0"/>
      <w:marRight w:val="0"/>
      <w:marTop w:val="0"/>
      <w:marBottom w:val="0"/>
      <w:divBdr>
        <w:top w:val="none" w:sz="0" w:space="0" w:color="auto"/>
        <w:left w:val="none" w:sz="0" w:space="0" w:color="auto"/>
        <w:bottom w:val="none" w:sz="0" w:space="0" w:color="auto"/>
        <w:right w:val="none" w:sz="0" w:space="0" w:color="auto"/>
      </w:divBdr>
    </w:div>
    <w:div w:id="1284388443">
      <w:bodyDiv w:val="1"/>
      <w:marLeft w:val="0"/>
      <w:marRight w:val="0"/>
      <w:marTop w:val="0"/>
      <w:marBottom w:val="0"/>
      <w:divBdr>
        <w:top w:val="none" w:sz="0" w:space="0" w:color="auto"/>
        <w:left w:val="none" w:sz="0" w:space="0" w:color="auto"/>
        <w:bottom w:val="none" w:sz="0" w:space="0" w:color="auto"/>
        <w:right w:val="none" w:sz="0" w:space="0" w:color="auto"/>
      </w:divBdr>
    </w:div>
    <w:div w:id="1287153577">
      <w:bodyDiv w:val="1"/>
      <w:marLeft w:val="0"/>
      <w:marRight w:val="0"/>
      <w:marTop w:val="0"/>
      <w:marBottom w:val="0"/>
      <w:divBdr>
        <w:top w:val="none" w:sz="0" w:space="0" w:color="auto"/>
        <w:left w:val="none" w:sz="0" w:space="0" w:color="auto"/>
        <w:bottom w:val="none" w:sz="0" w:space="0" w:color="auto"/>
        <w:right w:val="none" w:sz="0" w:space="0" w:color="auto"/>
      </w:divBdr>
    </w:div>
    <w:div w:id="1295451890">
      <w:bodyDiv w:val="1"/>
      <w:marLeft w:val="0"/>
      <w:marRight w:val="0"/>
      <w:marTop w:val="0"/>
      <w:marBottom w:val="0"/>
      <w:divBdr>
        <w:top w:val="none" w:sz="0" w:space="0" w:color="auto"/>
        <w:left w:val="none" w:sz="0" w:space="0" w:color="auto"/>
        <w:bottom w:val="none" w:sz="0" w:space="0" w:color="auto"/>
        <w:right w:val="none" w:sz="0" w:space="0" w:color="auto"/>
      </w:divBdr>
    </w:div>
    <w:div w:id="1299140273">
      <w:bodyDiv w:val="1"/>
      <w:marLeft w:val="0"/>
      <w:marRight w:val="0"/>
      <w:marTop w:val="0"/>
      <w:marBottom w:val="0"/>
      <w:divBdr>
        <w:top w:val="none" w:sz="0" w:space="0" w:color="auto"/>
        <w:left w:val="none" w:sz="0" w:space="0" w:color="auto"/>
        <w:bottom w:val="none" w:sz="0" w:space="0" w:color="auto"/>
        <w:right w:val="none" w:sz="0" w:space="0" w:color="auto"/>
      </w:divBdr>
    </w:div>
    <w:div w:id="1300527135">
      <w:bodyDiv w:val="1"/>
      <w:marLeft w:val="0"/>
      <w:marRight w:val="0"/>
      <w:marTop w:val="0"/>
      <w:marBottom w:val="0"/>
      <w:divBdr>
        <w:top w:val="none" w:sz="0" w:space="0" w:color="auto"/>
        <w:left w:val="none" w:sz="0" w:space="0" w:color="auto"/>
        <w:bottom w:val="none" w:sz="0" w:space="0" w:color="auto"/>
        <w:right w:val="none" w:sz="0" w:space="0" w:color="auto"/>
      </w:divBdr>
    </w:div>
    <w:div w:id="1312363464">
      <w:bodyDiv w:val="1"/>
      <w:marLeft w:val="0"/>
      <w:marRight w:val="0"/>
      <w:marTop w:val="0"/>
      <w:marBottom w:val="0"/>
      <w:divBdr>
        <w:top w:val="none" w:sz="0" w:space="0" w:color="auto"/>
        <w:left w:val="none" w:sz="0" w:space="0" w:color="auto"/>
        <w:bottom w:val="none" w:sz="0" w:space="0" w:color="auto"/>
        <w:right w:val="none" w:sz="0" w:space="0" w:color="auto"/>
      </w:divBdr>
    </w:div>
    <w:div w:id="1316834450">
      <w:bodyDiv w:val="1"/>
      <w:marLeft w:val="0"/>
      <w:marRight w:val="0"/>
      <w:marTop w:val="0"/>
      <w:marBottom w:val="0"/>
      <w:divBdr>
        <w:top w:val="none" w:sz="0" w:space="0" w:color="auto"/>
        <w:left w:val="none" w:sz="0" w:space="0" w:color="auto"/>
        <w:bottom w:val="none" w:sz="0" w:space="0" w:color="auto"/>
        <w:right w:val="none" w:sz="0" w:space="0" w:color="auto"/>
      </w:divBdr>
    </w:div>
    <w:div w:id="1332755245">
      <w:bodyDiv w:val="1"/>
      <w:marLeft w:val="0"/>
      <w:marRight w:val="0"/>
      <w:marTop w:val="0"/>
      <w:marBottom w:val="0"/>
      <w:divBdr>
        <w:top w:val="none" w:sz="0" w:space="0" w:color="auto"/>
        <w:left w:val="none" w:sz="0" w:space="0" w:color="auto"/>
        <w:bottom w:val="none" w:sz="0" w:space="0" w:color="auto"/>
        <w:right w:val="none" w:sz="0" w:space="0" w:color="auto"/>
      </w:divBdr>
    </w:div>
    <w:div w:id="1333486659">
      <w:bodyDiv w:val="1"/>
      <w:marLeft w:val="0"/>
      <w:marRight w:val="0"/>
      <w:marTop w:val="0"/>
      <w:marBottom w:val="0"/>
      <w:divBdr>
        <w:top w:val="none" w:sz="0" w:space="0" w:color="auto"/>
        <w:left w:val="none" w:sz="0" w:space="0" w:color="auto"/>
        <w:bottom w:val="none" w:sz="0" w:space="0" w:color="auto"/>
        <w:right w:val="none" w:sz="0" w:space="0" w:color="auto"/>
      </w:divBdr>
    </w:div>
    <w:div w:id="1334722907">
      <w:bodyDiv w:val="1"/>
      <w:marLeft w:val="0"/>
      <w:marRight w:val="0"/>
      <w:marTop w:val="0"/>
      <w:marBottom w:val="0"/>
      <w:divBdr>
        <w:top w:val="none" w:sz="0" w:space="0" w:color="auto"/>
        <w:left w:val="none" w:sz="0" w:space="0" w:color="auto"/>
        <w:bottom w:val="none" w:sz="0" w:space="0" w:color="auto"/>
        <w:right w:val="none" w:sz="0" w:space="0" w:color="auto"/>
      </w:divBdr>
    </w:div>
    <w:div w:id="1350138105">
      <w:bodyDiv w:val="1"/>
      <w:marLeft w:val="0"/>
      <w:marRight w:val="0"/>
      <w:marTop w:val="0"/>
      <w:marBottom w:val="0"/>
      <w:divBdr>
        <w:top w:val="none" w:sz="0" w:space="0" w:color="auto"/>
        <w:left w:val="none" w:sz="0" w:space="0" w:color="auto"/>
        <w:bottom w:val="none" w:sz="0" w:space="0" w:color="auto"/>
        <w:right w:val="none" w:sz="0" w:space="0" w:color="auto"/>
      </w:divBdr>
    </w:div>
    <w:div w:id="1361970561">
      <w:bodyDiv w:val="1"/>
      <w:marLeft w:val="0"/>
      <w:marRight w:val="0"/>
      <w:marTop w:val="0"/>
      <w:marBottom w:val="0"/>
      <w:divBdr>
        <w:top w:val="none" w:sz="0" w:space="0" w:color="auto"/>
        <w:left w:val="none" w:sz="0" w:space="0" w:color="auto"/>
        <w:bottom w:val="none" w:sz="0" w:space="0" w:color="auto"/>
        <w:right w:val="none" w:sz="0" w:space="0" w:color="auto"/>
      </w:divBdr>
    </w:div>
    <w:div w:id="1381129535">
      <w:bodyDiv w:val="1"/>
      <w:marLeft w:val="0"/>
      <w:marRight w:val="0"/>
      <w:marTop w:val="0"/>
      <w:marBottom w:val="0"/>
      <w:divBdr>
        <w:top w:val="none" w:sz="0" w:space="0" w:color="auto"/>
        <w:left w:val="none" w:sz="0" w:space="0" w:color="auto"/>
        <w:bottom w:val="none" w:sz="0" w:space="0" w:color="auto"/>
        <w:right w:val="none" w:sz="0" w:space="0" w:color="auto"/>
      </w:divBdr>
    </w:div>
    <w:div w:id="1383750581">
      <w:bodyDiv w:val="1"/>
      <w:marLeft w:val="0"/>
      <w:marRight w:val="0"/>
      <w:marTop w:val="0"/>
      <w:marBottom w:val="0"/>
      <w:divBdr>
        <w:top w:val="none" w:sz="0" w:space="0" w:color="auto"/>
        <w:left w:val="none" w:sz="0" w:space="0" w:color="auto"/>
        <w:bottom w:val="none" w:sz="0" w:space="0" w:color="auto"/>
        <w:right w:val="none" w:sz="0" w:space="0" w:color="auto"/>
      </w:divBdr>
    </w:div>
    <w:div w:id="1383866778">
      <w:bodyDiv w:val="1"/>
      <w:marLeft w:val="0"/>
      <w:marRight w:val="0"/>
      <w:marTop w:val="0"/>
      <w:marBottom w:val="0"/>
      <w:divBdr>
        <w:top w:val="none" w:sz="0" w:space="0" w:color="auto"/>
        <w:left w:val="none" w:sz="0" w:space="0" w:color="auto"/>
        <w:bottom w:val="none" w:sz="0" w:space="0" w:color="auto"/>
        <w:right w:val="none" w:sz="0" w:space="0" w:color="auto"/>
      </w:divBdr>
    </w:div>
    <w:div w:id="1387873979">
      <w:bodyDiv w:val="1"/>
      <w:marLeft w:val="0"/>
      <w:marRight w:val="0"/>
      <w:marTop w:val="0"/>
      <w:marBottom w:val="0"/>
      <w:divBdr>
        <w:top w:val="none" w:sz="0" w:space="0" w:color="auto"/>
        <w:left w:val="none" w:sz="0" w:space="0" w:color="auto"/>
        <w:bottom w:val="none" w:sz="0" w:space="0" w:color="auto"/>
        <w:right w:val="none" w:sz="0" w:space="0" w:color="auto"/>
      </w:divBdr>
    </w:div>
    <w:div w:id="1388839516">
      <w:bodyDiv w:val="1"/>
      <w:marLeft w:val="0"/>
      <w:marRight w:val="0"/>
      <w:marTop w:val="0"/>
      <w:marBottom w:val="0"/>
      <w:divBdr>
        <w:top w:val="none" w:sz="0" w:space="0" w:color="auto"/>
        <w:left w:val="none" w:sz="0" w:space="0" w:color="auto"/>
        <w:bottom w:val="none" w:sz="0" w:space="0" w:color="auto"/>
        <w:right w:val="none" w:sz="0" w:space="0" w:color="auto"/>
      </w:divBdr>
    </w:div>
    <w:div w:id="1389038184">
      <w:bodyDiv w:val="1"/>
      <w:marLeft w:val="0"/>
      <w:marRight w:val="0"/>
      <w:marTop w:val="0"/>
      <w:marBottom w:val="0"/>
      <w:divBdr>
        <w:top w:val="none" w:sz="0" w:space="0" w:color="auto"/>
        <w:left w:val="none" w:sz="0" w:space="0" w:color="auto"/>
        <w:bottom w:val="none" w:sz="0" w:space="0" w:color="auto"/>
        <w:right w:val="none" w:sz="0" w:space="0" w:color="auto"/>
      </w:divBdr>
    </w:div>
    <w:div w:id="1391073020">
      <w:bodyDiv w:val="1"/>
      <w:marLeft w:val="0"/>
      <w:marRight w:val="0"/>
      <w:marTop w:val="0"/>
      <w:marBottom w:val="0"/>
      <w:divBdr>
        <w:top w:val="none" w:sz="0" w:space="0" w:color="auto"/>
        <w:left w:val="none" w:sz="0" w:space="0" w:color="auto"/>
        <w:bottom w:val="none" w:sz="0" w:space="0" w:color="auto"/>
        <w:right w:val="none" w:sz="0" w:space="0" w:color="auto"/>
      </w:divBdr>
    </w:div>
    <w:div w:id="1405372208">
      <w:bodyDiv w:val="1"/>
      <w:marLeft w:val="0"/>
      <w:marRight w:val="0"/>
      <w:marTop w:val="0"/>
      <w:marBottom w:val="0"/>
      <w:divBdr>
        <w:top w:val="none" w:sz="0" w:space="0" w:color="auto"/>
        <w:left w:val="none" w:sz="0" w:space="0" w:color="auto"/>
        <w:bottom w:val="none" w:sz="0" w:space="0" w:color="auto"/>
        <w:right w:val="none" w:sz="0" w:space="0" w:color="auto"/>
      </w:divBdr>
    </w:div>
    <w:div w:id="1421948584">
      <w:bodyDiv w:val="1"/>
      <w:marLeft w:val="0"/>
      <w:marRight w:val="0"/>
      <w:marTop w:val="0"/>
      <w:marBottom w:val="0"/>
      <w:divBdr>
        <w:top w:val="none" w:sz="0" w:space="0" w:color="auto"/>
        <w:left w:val="none" w:sz="0" w:space="0" w:color="auto"/>
        <w:bottom w:val="none" w:sz="0" w:space="0" w:color="auto"/>
        <w:right w:val="none" w:sz="0" w:space="0" w:color="auto"/>
      </w:divBdr>
    </w:div>
    <w:div w:id="1433357282">
      <w:bodyDiv w:val="1"/>
      <w:marLeft w:val="0"/>
      <w:marRight w:val="0"/>
      <w:marTop w:val="0"/>
      <w:marBottom w:val="0"/>
      <w:divBdr>
        <w:top w:val="none" w:sz="0" w:space="0" w:color="auto"/>
        <w:left w:val="none" w:sz="0" w:space="0" w:color="auto"/>
        <w:bottom w:val="none" w:sz="0" w:space="0" w:color="auto"/>
        <w:right w:val="none" w:sz="0" w:space="0" w:color="auto"/>
      </w:divBdr>
    </w:div>
    <w:div w:id="1464227893">
      <w:bodyDiv w:val="1"/>
      <w:marLeft w:val="0"/>
      <w:marRight w:val="0"/>
      <w:marTop w:val="0"/>
      <w:marBottom w:val="0"/>
      <w:divBdr>
        <w:top w:val="none" w:sz="0" w:space="0" w:color="auto"/>
        <w:left w:val="none" w:sz="0" w:space="0" w:color="auto"/>
        <w:bottom w:val="none" w:sz="0" w:space="0" w:color="auto"/>
        <w:right w:val="none" w:sz="0" w:space="0" w:color="auto"/>
      </w:divBdr>
    </w:div>
    <w:div w:id="1484739148">
      <w:bodyDiv w:val="1"/>
      <w:marLeft w:val="0"/>
      <w:marRight w:val="0"/>
      <w:marTop w:val="0"/>
      <w:marBottom w:val="0"/>
      <w:divBdr>
        <w:top w:val="none" w:sz="0" w:space="0" w:color="auto"/>
        <w:left w:val="none" w:sz="0" w:space="0" w:color="auto"/>
        <w:bottom w:val="none" w:sz="0" w:space="0" w:color="auto"/>
        <w:right w:val="none" w:sz="0" w:space="0" w:color="auto"/>
      </w:divBdr>
    </w:div>
    <w:div w:id="1496997295">
      <w:bodyDiv w:val="1"/>
      <w:marLeft w:val="0"/>
      <w:marRight w:val="0"/>
      <w:marTop w:val="0"/>
      <w:marBottom w:val="0"/>
      <w:divBdr>
        <w:top w:val="none" w:sz="0" w:space="0" w:color="auto"/>
        <w:left w:val="none" w:sz="0" w:space="0" w:color="auto"/>
        <w:bottom w:val="none" w:sz="0" w:space="0" w:color="auto"/>
        <w:right w:val="none" w:sz="0" w:space="0" w:color="auto"/>
      </w:divBdr>
    </w:div>
    <w:div w:id="1502164843">
      <w:bodyDiv w:val="1"/>
      <w:marLeft w:val="0"/>
      <w:marRight w:val="0"/>
      <w:marTop w:val="0"/>
      <w:marBottom w:val="0"/>
      <w:divBdr>
        <w:top w:val="none" w:sz="0" w:space="0" w:color="auto"/>
        <w:left w:val="none" w:sz="0" w:space="0" w:color="auto"/>
        <w:bottom w:val="none" w:sz="0" w:space="0" w:color="auto"/>
        <w:right w:val="none" w:sz="0" w:space="0" w:color="auto"/>
      </w:divBdr>
    </w:div>
    <w:div w:id="1512719915">
      <w:bodyDiv w:val="1"/>
      <w:marLeft w:val="0"/>
      <w:marRight w:val="0"/>
      <w:marTop w:val="0"/>
      <w:marBottom w:val="0"/>
      <w:divBdr>
        <w:top w:val="none" w:sz="0" w:space="0" w:color="auto"/>
        <w:left w:val="none" w:sz="0" w:space="0" w:color="auto"/>
        <w:bottom w:val="none" w:sz="0" w:space="0" w:color="auto"/>
        <w:right w:val="none" w:sz="0" w:space="0" w:color="auto"/>
      </w:divBdr>
    </w:div>
    <w:div w:id="1517186314">
      <w:bodyDiv w:val="1"/>
      <w:marLeft w:val="0"/>
      <w:marRight w:val="0"/>
      <w:marTop w:val="0"/>
      <w:marBottom w:val="0"/>
      <w:divBdr>
        <w:top w:val="none" w:sz="0" w:space="0" w:color="auto"/>
        <w:left w:val="none" w:sz="0" w:space="0" w:color="auto"/>
        <w:bottom w:val="none" w:sz="0" w:space="0" w:color="auto"/>
        <w:right w:val="none" w:sz="0" w:space="0" w:color="auto"/>
      </w:divBdr>
    </w:div>
    <w:div w:id="1530487805">
      <w:bodyDiv w:val="1"/>
      <w:marLeft w:val="0"/>
      <w:marRight w:val="0"/>
      <w:marTop w:val="0"/>
      <w:marBottom w:val="0"/>
      <w:divBdr>
        <w:top w:val="none" w:sz="0" w:space="0" w:color="auto"/>
        <w:left w:val="none" w:sz="0" w:space="0" w:color="auto"/>
        <w:bottom w:val="none" w:sz="0" w:space="0" w:color="auto"/>
        <w:right w:val="none" w:sz="0" w:space="0" w:color="auto"/>
      </w:divBdr>
    </w:div>
    <w:div w:id="1541556117">
      <w:bodyDiv w:val="1"/>
      <w:marLeft w:val="0"/>
      <w:marRight w:val="0"/>
      <w:marTop w:val="0"/>
      <w:marBottom w:val="0"/>
      <w:divBdr>
        <w:top w:val="none" w:sz="0" w:space="0" w:color="auto"/>
        <w:left w:val="none" w:sz="0" w:space="0" w:color="auto"/>
        <w:bottom w:val="none" w:sz="0" w:space="0" w:color="auto"/>
        <w:right w:val="none" w:sz="0" w:space="0" w:color="auto"/>
      </w:divBdr>
    </w:div>
    <w:div w:id="1541626048">
      <w:bodyDiv w:val="1"/>
      <w:marLeft w:val="0"/>
      <w:marRight w:val="0"/>
      <w:marTop w:val="0"/>
      <w:marBottom w:val="0"/>
      <w:divBdr>
        <w:top w:val="none" w:sz="0" w:space="0" w:color="auto"/>
        <w:left w:val="none" w:sz="0" w:space="0" w:color="auto"/>
        <w:bottom w:val="none" w:sz="0" w:space="0" w:color="auto"/>
        <w:right w:val="none" w:sz="0" w:space="0" w:color="auto"/>
      </w:divBdr>
    </w:div>
    <w:div w:id="1555432929">
      <w:bodyDiv w:val="1"/>
      <w:marLeft w:val="0"/>
      <w:marRight w:val="0"/>
      <w:marTop w:val="0"/>
      <w:marBottom w:val="0"/>
      <w:divBdr>
        <w:top w:val="none" w:sz="0" w:space="0" w:color="auto"/>
        <w:left w:val="none" w:sz="0" w:space="0" w:color="auto"/>
        <w:bottom w:val="none" w:sz="0" w:space="0" w:color="auto"/>
        <w:right w:val="none" w:sz="0" w:space="0" w:color="auto"/>
      </w:divBdr>
    </w:div>
    <w:div w:id="1576088869">
      <w:bodyDiv w:val="1"/>
      <w:marLeft w:val="0"/>
      <w:marRight w:val="0"/>
      <w:marTop w:val="0"/>
      <w:marBottom w:val="0"/>
      <w:divBdr>
        <w:top w:val="none" w:sz="0" w:space="0" w:color="auto"/>
        <w:left w:val="none" w:sz="0" w:space="0" w:color="auto"/>
        <w:bottom w:val="none" w:sz="0" w:space="0" w:color="auto"/>
        <w:right w:val="none" w:sz="0" w:space="0" w:color="auto"/>
      </w:divBdr>
    </w:div>
    <w:div w:id="1578323037">
      <w:bodyDiv w:val="1"/>
      <w:marLeft w:val="0"/>
      <w:marRight w:val="0"/>
      <w:marTop w:val="0"/>
      <w:marBottom w:val="0"/>
      <w:divBdr>
        <w:top w:val="none" w:sz="0" w:space="0" w:color="auto"/>
        <w:left w:val="none" w:sz="0" w:space="0" w:color="auto"/>
        <w:bottom w:val="none" w:sz="0" w:space="0" w:color="auto"/>
        <w:right w:val="none" w:sz="0" w:space="0" w:color="auto"/>
      </w:divBdr>
    </w:div>
    <w:div w:id="1580365095">
      <w:bodyDiv w:val="1"/>
      <w:marLeft w:val="0"/>
      <w:marRight w:val="0"/>
      <w:marTop w:val="0"/>
      <w:marBottom w:val="0"/>
      <w:divBdr>
        <w:top w:val="none" w:sz="0" w:space="0" w:color="auto"/>
        <w:left w:val="none" w:sz="0" w:space="0" w:color="auto"/>
        <w:bottom w:val="none" w:sz="0" w:space="0" w:color="auto"/>
        <w:right w:val="none" w:sz="0" w:space="0" w:color="auto"/>
      </w:divBdr>
    </w:div>
    <w:div w:id="1585263173">
      <w:bodyDiv w:val="1"/>
      <w:marLeft w:val="0"/>
      <w:marRight w:val="0"/>
      <w:marTop w:val="0"/>
      <w:marBottom w:val="0"/>
      <w:divBdr>
        <w:top w:val="none" w:sz="0" w:space="0" w:color="auto"/>
        <w:left w:val="none" w:sz="0" w:space="0" w:color="auto"/>
        <w:bottom w:val="none" w:sz="0" w:space="0" w:color="auto"/>
        <w:right w:val="none" w:sz="0" w:space="0" w:color="auto"/>
      </w:divBdr>
      <w:divsChild>
        <w:div w:id="77603101">
          <w:marLeft w:val="0"/>
          <w:marRight w:val="0"/>
          <w:marTop w:val="0"/>
          <w:marBottom w:val="0"/>
          <w:divBdr>
            <w:top w:val="none" w:sz="0" w:space="0" w:color="auto"/>
            <w:left w:val="none" w:sz="0" w:space="0" w:color="auto"/>
            <w:bottom w:val="none" w:sz="0" w:space="0" w:color="auto"/>
            <w:right w:val="none" w:sz="0" w:space="0" w:color="auto"/>
          </w:divBdr>
        </w:div>
      </w:divsChild>
    </w:div>
    <w:div w:id="1603219498">
      <w:bodyDiv w:val="1"/>
      <w:marLeft w:val="0"/>
      <w:marRight w:val="0"/>
      <w:marTop w:val="0"/>
      <w:marBottom w:val="0"/>
      <w:divBdr>
        <w:top w:val="none" w:sz="0" w:space="0" w:color="auto"/>
        <w:left w:val="none" w:sz="0" w:space="0" w:color="auto"/>
        <w:bottom w:val="none" w:sz="0" w:space="0" w:color="auto"/>
        <w:right w:val="none" w:sz="0" w:space="0" w:color="auto"/>
      </w:divBdr>
    </w:div>
    <w:div w:id="1614903397">
      <w:bodyDiv w:val="1"/>
      <w:marLeft w:val="0"/>
      <w:marRight w:val="0"/>
      <w:marTop w:val="0"/>
      <w:marBottom w:val="0"/>
      <w:divBdr>
        <w:top w:val="none" w:sz="0" w:space="0" w:color="auto"/>
        <w:left w:val="none" w:sz="0" w:space="0" w:color="auto"/>
        <w:bottom w:val="none" w:sz="0" w:space="0" w:color="auto"/>
        <w:right w:val="none" w:sz="0" w:space="0" w:color="auto"/>
      </w:divBdr>
    </w:div>
    <w:div w:id="1616865367">
      <w:bodyDiv w:val="1"/>
      <w:marLeft w:val="0"/>
      <w:marRight w:val="0"/>
      <w:marTop w:val="0"/>
      <w:marBottom w:val="0"/>
      <w:divBdr>
        <w:top w:val="none" w:sz="0" w:space="0" w:color="auto"/>
        <w:left w:val="none" w:sz="0" w:space="0" w:color="auto"/>
        <w:bottom w:val="none" w:sz="0" w:space="0" w:color="auto"/>
        <w:right w:val="none" w:sz="0" w:space="0" w:color="auto"/>
      </w:divBdr>
    </w:div>
    <w:div w:id="1631206306">
      <w:bodyDiv w:val="1"/>
      <w:marLeft w:val="0"/>
      <w:marRight w:val="0"/>
      <w:marTop w:val="0"/>
      <w:marBottom w:val="0"/>
      <w:divBdr>
        <w:top w:val="none" w:sz="0" w:space="0" w:color="auto"/>
        <w:left w:val="none" w:sz="0" w:space="0" w:color="auto"/>
        <w:bottom w:val="none" w:sz="0" w:space="0" w:color="auto"/>
        <w:right w:val="none" w:sz="0" w:space="0" w:color="auto"/>
      </w:divBdr>
    </w:div>
    <w:div w:id="1637637338">
      <w:bodyDiv w:val="1"/>
      <w:marLeft w:val="0"/>
      <w:marRight w:val="0"/>
      <w:marTop w:val="0"/>
      <w:marBottom w:val="0"/>
      <w:divBdr>
        <w:top w:val="none" w:sz="0" w:space="0" w:color="auto"/>
        <w:left w:val="none" w:sz="0" w:space="0" w:color="auto"/>
        <w:bottom w:val="none" w:sz="0" w:space="0" w:color="auto"/>
        <w:right w:val="none" w:sz="0" w:space="0" w:color="auto"/>
      </w:divBdr>
    </w:div>
    <w:div w:id="1642690400">
      <w:bodyDiv w:val="1"/>
      <w:marLeft w:val="0"/>
      <w:marRight w:val="0"/>
      <w:marTop w:val="0"/>
      <w:marBottom w:val="0"/>
      <w:divBdr>
        <w:top w:val="none" w:sz="0" w:space="0" w:color="auto"/>
        <w:left w:val="none" w:sz="0" w:space="0" w:color="auto"/>
        <w:bottom w:val="none" w:sz="0" w:space="0" w:color="auto"/>
        <w:right w:val="none" w:sz="0" w:space="0" w:color="auto"/>
      </w:divBdr>
    </w:div>
    <w:div w:id="1647587899">
      <w:bodyDiv w:val="1"/>
      <w:marLeft w:val="0"/>
      <w:marRight w:val="0"/>
      <w:marTop w:val="0"/>
      <w:marBottom w:val="0"/>
      <w:divBdr>
        <w:top w:val="none" w:sz="0" w:space="0" w:color="auto"/>
        <w:left w:val="none" w:sz="0" w:space="0" w:color="auto"/>
        <w:bottom w:val="none" w:sz="0" w:space="0" w:color="auto"/>
        <w:right w:val="none" w:sz="0" w:space="0" w:color="auto"/>
      </w:divBdr>
    </w:div>
    <w:div w:id="1648051933">
      <w:bodyDiv w:val="1"/>
      <w:marLeft w:val="0"/>
      <w:marRight w:val="0"/>
      <w:marTop w:val="0"/>
      <w:marBottom w:val="0"/>
      <w:divBdr>
        <w:top w:val="none" w:sz="0" w:space="0" w:color="auto"/>
        <w:left w:val="none" w:sz="0" w:space="0" w:color="auto"/>
        <w:bottom w:val="none" w:sz="0" w:space="0" w:color="auto"/>
        <w:right w:val="none" w:sz="0" w:space="0" w:color="auto"/>
      </w:divBdr>
    </w:div>
    <w:div w:id="1651786928">
      <w:bodyDiv w:val="1"/>
      <w:marLeft w:val="0"/>
      <w:marRight w:val="0"/>
      <w:marTop w:val="0"/>
      <w:marBottom w:val="0"/>
      <w:divBdr>
        <w:top w:val="none" w:sz="0" w:space="0" w:color="auto"/>
        <w:left w:val="none" w:sz="0" w:space="0" w:color="auto"/>
        <w:bottom w:val="none" w:sz="0" w:space="0" w:color="auto"/>
        <w:right w:val="none" w:sz="0" w:space="0" w:color="auto"/>
      </w:divBdr>
    </w:div>
    <w:div w:id="1654289463">
      <w:bodyDiv w:val="1"/>
      <w:marLeft w:val="0"/>
      <w:marRight w:val="0"/>
      <w:marTop w:val="0"/>
      <w:marBottom w:val="0"/>
      <w:divBdr>
        <w:top w:val="none" w:sz="0" w:space="0" w:color="auto"/>
        <w:left w:val="none" w:sz="0" w:space="0" w:color="auto"/>
        <w:bottom w:val="none" w:sz="0" w:space="0" w:color="auto"/>
        <w:right w:val="none" w:sz="0" w:space="0" w:color="auto"/>
      </w:divBdr>
    </w:div>
    <w:div w:id="1663240008">
      <w:bodyDiv w:val="1"/>
      <w:marLeft w:val="0"/>
      <w:marRight w:val="0"/>
      <w:marTop w:val="0"/>
      <w:marBottom w:val="0"/>
      <w:divBdr>
        <w:top w:val="none" w:sz="0" w:space="0" w:color="auto"/>
        <w:left w:val="none" w:sz="0" w:space="0" w:color="auto"/>
        <w:bottom w:val="none" w:sz="0" w:space="0" w:color="auto"/>
        <w:right w:val="none" w:sz="0" w:space="0" w:color="auto"/>
      </w:divBdr>
    </w:div>
    <w:div w:id="1666007171">
      <w:bodyDiv w:val="1"/>
      <w:marLeft w:val="0"/>
      <w:marRight w:val="0"/>
      <w:marTop w:val="0"/>
      <w:marBottom w:val="0"/>
      <w:divBdr>
        <w:top w:val="none" w:sz="0" w:space="0" w:color="auto"/>
        <w:left w:val="none" w:sz="0" w:space="0" w:color="auto"/>
        <w:bottom w:val="none" w:sz="0" w:space="0" w:color="auto"/>
        <w:right w:val="none" w:sz="0" w:space="0" w:color="auto"/>
      </w:divBdr>
    </w:div>
    <w:div w:id="1667125064">
      <w:bodyDiv w:val="1"/>
      <w:marLeft w:val="0"/>
      <w:marRight w:val="0"/>
      <w:marTop w:val="0"/>
      <w:marBottom w:val="0"/>
      <w:divBdr>
        <w:top w:val="none" w:sz="0" w:space="0" w:color="auto"/>
        <w:left w:val="none" w:sz="0" w:space="0" w:color="auto"/>
        <w:bottom w:val="none" w:sz="0" w:space="0" w:color="auto"/>
        <w:right w:val="none" w:sz="0" w:space="0" w:color="auto"/>
      </w:divBdr>
    </w:div>
    <w:div w:id="1668747794">
      <w:bodyDiv w:val="1"/>
      <w:marLeft w:val="0"/>
      <w:marRight w:val="0"/>
      <w:marTop w:val="0"/>
      <w:marBottom w:val="0"/>
      <w:divBdr>
        <w:top w:val="none" w:sz="0" w:space="0" w:color="auto"/>
        <w:left w:val="none" w:sz="0" w:space="0" w:color="auto"/>
        <w:bottom w:val="none" w:sz="0" w:space="0" w:color="auto"/>
        <w:right w:val="none" w:sz="0" w:space="0" w:color="auto"/>
      </w:divBdr>
    </w:div>
    <w:div w:id="1681662106">
      <w:bodyDiv w:val="1"/>
      <w:marLeft w:val="0"/>
      <w:marRight w:val="0"/>
      <w:marTop w:val="0"/>
      <w:marBottom w:val="0"/>
      <w:divBdr>
        <w:top w:val="none" w:sz="0" w:space="0" w:color="auto"/>
        <w:left w:val="none" w:sz="0" w:space="0" w:color="auto"/>
        <w:bottom w:val="none" w:sz="0" w:space="0" w:color="auto"/>
        <w:right w:val="none" w:sz="0" w:space="0" w:color="auto"/>
      </w:divBdr>
    </w:div>
    <w:div w:id="1688868067">
      <w:bodyDiv w:val="1"/>
      <w:marLeft w:val="0"/>
      <w:marRight w:val="0"/>
      <w:marTop w:val="0"/>
      <w:marBottom w:val="0"/>
      <w:divBdr>
        <w:top w:val="none" w:sz="0" w:space="0" w:color="auto"/>
        <w:left w:val="none" w:sz="0" w:space="0" w:color="auto"/>
        <w:bottom w:val="none" w:sz="0" w:space="0" w:color="auto"/>
        <w:right w:val="none" w:sz="0" w:space="0" w:color="auto"/>
      </w:divBdr>
    </w:div>
    <w:div w:id="1696614677">
      <w:bodyDiv w:val="1"/>
      <w:marLeft w:val="0"/>
      <w:marRight w:val="0"/>
      <w:marTop w:val="0"/>
      <w:marBottom w:val="0"/>
      <w:divBdr>
        <w:top w:val="none" w:sz="0" w:space="0" w:color="auto"/>
        <w:left w:val="none" w:sz="0" w:space="0" w:color="auto"/>
        <w:bottom w:val="none" w:sz="0" w:space="0" w:color="auto"/>
        <w:right w:val="none" w:sz="0" w:space="0" w:color="auto"/>
      </w:divBdr>
    </w:div>
    <w:div w:id="1705057969">
      <w:bodyDiv w:val="1"/>
      <w:marLeft w:val="0"/>
      <w:marRight w:val="0"/>
      <w:marTop w:val="0"/>
      <w:marBottom w:val="0"/>
      <w:divBdr>
        <w:top w:val="none" w:sz="0" w:space="0" w:color="auto"/>
        <w:left w:val="none" w:sz="0" w:space="0" w:color="auto"/>
        <w:bottom w:val="none" w:sz="0" w:space="0" w:color="auto"/>
        <w:right w:val="none" w:sz="0" w:space="0" w:color="auto"/>
      </w:divBdr>
    </w:div>
    <w:div w:id="1715032778">
      <w:bodyDiv w:val="1"/>
      <w:marLeft w:val="0"/>
      <w:marRight w:val="0"/>
      <w:marTop w:val="0"/>
      <w:marBottom w:val="0"/>
      <w:divBdr>
        <w:top w:val="none" w:sz="0" w:space="0" w:color="auto"/>
        <w:left w:val="none" w:sz="0" w:space="0" w:color="auto"/>
        <w:bottom w:val="none" w:sz="0" w:space="0" w:color="auto"/>
        <w:right w:val="none" w:sz="0" w:space="0" w:color="auto"/>
      </w:divBdr>
    </w:div>
    <w:div w:id="1720323172">
      <w:bodyDiv w:val="1"/>
      <w:marLeft w:val="0"/>
      <w:marRight w:val="0"/>
      <w:marTop w:val="0"/>
      <w:marBottom w:val="0"/>
      <w:divBdr>
        <w:top w:val="none" w:sz="0" w:space="0" w:color="auto"/>
        <w:left w:val="none" w:sz="0" w:space="0" w:color="auto"/>
        <w:bottom w:val="none" w:sz="0" w:space="0" w:color="auto"/>
        <w:right w:val="none" w:sz="0" w:space="0" w:color="auto"/>
      </w:divBdr>
    </w:div>
    <w:div w:id="1732583980">
      <w:bodyDiv w:val="1"/>
      <w:marLeft w:val="0"/>
      <w:marRight w:val="0"/>
      <w:marTop w:val="0"/>
      <w:marBottom w:val="0"/>
      <w:divBdr>
        <w:top w:val="none" w:sz="0" w:space="0" w:color="auto"/>
        <w:left w:val="none" w:sz="0" w:space="0" w:color="auto"/>
        <w:bottom w:val="none" w:sz="0" w:space="0" w:color="auto"/>
        <w:right w:val="none" w:sz="0" w:space="0" w:color="auto"/>
      </w:divBdr>
    </w:div>
    <w:div w:id="1733238077">
      <w:bodyDiv w:val="1"/>
      <w:marLeft w:val="0"/>
      <w:marRight w:val="0"/>
      <w:marTop w:val="0"/>
      <w:marBottom w:val="0"/>
      <w:divBdr>
        <w:top w:val="none" w:sz="0" w:space="0" w:color="auto"/>
        <w:left w:val="none" w:sz="0" w:space="0" w:color="auto"/>
        <w:bottom w:val="none" w:sz="0" w:space="0" w:color="auto"/>
        <w:right w:val="none" w:sz="0" w:space="0" w:color="auto"/>
      </w:divBdr>
    </w:div>
    <w:div w:id="1739554357">
      <w:bodyDiv w:val="1"/>
      <w:marLeft w:val="0"/>
      <w:marRight w:val="0"/>
      <w:marTop w:val="0"/>
      <w:marBottom w:val="0"/>
      <w:divBdr>
        <w:top w:val="none" w:sz="0" w:space="0" w:color="auto"/>
        <w:left w:val="none" w:sz="0" w:space="0" w:color="auto"/>
        <w:bottom w:val="none" w:sz="0" w:space="0" w:color="auto"/>
        <w:right w:val="none" w:sz="0" w:space="0" w:color="auto"/>
      </w:divBdr>
    </w:div>
    <w:div w:id="1751928880">
      <w:bodyDiv w:val="1"/>
      <w:marLeft w:val="0"/>
      <w:marRight w:val="0"/>
      <w:marTop w:val="0"/>
      <w:marBottom w:val="0"/>
      <w:divBdr>
        <w:top w:val="none" w:sz="0" w:space="0" w:color="auto"/>
        <w:left w:val="none" w:sz="0" w:space="0" w:color="auto"/>
        <w:bottom w:val="none" w:sz="0" w:space="0" w:color="auto"/>
        <w:right w:val="none" w:sz="0" w:space="0" w:color="auto"/>
      </w:divBdr>
    </w:div>
    <w:div w:id="1752847673">
      <w:bodyDiv w:val="1"/>
      <w:marLeft w:val="0"/>
      <w:marRight w:val="0"/>
      <w:marTop w:val="0"/>
      <w:marBottom w:val="0"/>
      <w:divBdr>
        <w:top w:val="none" w:sz="0" w:space="0" w:color="auto"/>
        <w:left w:val="none" w:sz="0" w:space="0" w:color="auto"/>
        <w:bottom w:val="none" w:sz="0" w:space="0" w:color="auto"/>
        <w:right w:val="none" w:sz="0" w:space="0" w:color="auto"/>
      </w:divBdr>
    </w:div>
    <w:div w:id="1761221275">
      <w:bodyDiv w:val="1"/>
      <w:marLeft w:val="0"/>
      <w:marRight w:val="0"/>
      <w:marTop w:val="0"/>
      <w:marBottom w:val="0"/>
      <w:divBdr>
        <w:top w:val="none" w:sz="0" w:space="0" w:color="auto"/>
        <w:left w:val="none" w:sz="0" w:space="0" w:color="auto"/>
        <w:bottom w:val="none" w:sz="0" w:space="0" w:color="auto"/>
        <w:right w:val="none" w:sz="0" w:space="0" w:color="auto"/>
      </w:divBdr>
    </w:div>
    <w:div w:id="1770395335">
      <w:bodyDiv w:val="1"/>
      <w:marLeft w:val="0"/>
      <w:marRight w:val="0"/>
      <w:marTop w:val="0"/>
      <w:marBottom w:val="0"/>
      <w:divBdr>
        <w:top w:val="none" w:sz="0" w:space="0" w:color="auto"/>
        <w:left w:val="none" w:sz="0" w:space="0" w:color="auto"/>
        <w:bottom w:val="none" w:sz="0" w:space="0" w:color="auto"/>
        <w:right w:val="none" w:sz="0" w:space="0" w:color="auto"/>
      </w:divBdr>
    </w:div>
    <w:div w:id="1772702318">
      <w:bodyDiv w:val="1"/>
      <w:marLeft w:val="0"/>
      <w:marRight w:val="0"/>
      <w:marTop w:val="0"/>
      <w:marBottom w:val="0"/>
      <w:divBdr>
        <w:top w:val="none" w:sz="0" w:space="0" w:color="auto"/>
        <w:left w:val="none" w:sz="0" w:space="0" w:color="auto"/>
        <w:bottom w:val="none" w:sz="0" w:space="0" w:color="auto"/>
        <w:right w:val="none" w:sz="0" w:space="0" w:color="auto"/>
      </w:divBdr>
    </w:div>
    <w:div w:id="1774665746">
      <w:bodyDiv w:val="1"/>
      <w:marLeft w:val="0"/>
      <w:marRight w:val="0"/>
      <w:marTop w:val="0"/>
      <w:marBottom w:val="0"/>
      <w:divBdr>
        <w:top w:val="none" w:sz="0" w:space="0" w:color="auto"/>
        <w:left w:val="none" w:sz="0" w:space="0" w:color="auto"/>
        <w:bottom w:val="none" w:sz="0" w:space="0" w:color="auto"/>
        <w:right w:val="none" w:sz="0" w:space="0" w:color="auto"/>
      </w:divBdr>
    </w:div>
    <w:div w:id="1788161116">
      <w:bodyDiv w:val="1"/>
      <w:marLeft w:val="0"/>
      <w:marRight w:val="0"/>
      <w:marTop w:val="0"/>
      <w:marBottom w:val="0"/>
      <w:divBdr>
        <w:top w:val="none" w:sz="0" w:space="0" w:color="auto"/>
        <w:left w:val="none" w:sz="0" w:space="0" w:color="auto"/>
        <w:bottom w:val="none" w:sz="0" w:space="0" w:color="auto"/>
        <w:right w:val="none" w:sz="0" w:space="0" w:color="auto"/>
      </w:divBdr>
    </w:div>
    <w:div w:id="1801415946">
      <w:bodyDiv w:val="1"/>
      <w:marLeft w:val="0"/>
      <w:marRight w:val="0"/>
      <w:marTop w:val="0"/>
      <w:marBottom w:val="0"/>
      <w:divBdr>
        <w:top w:val="none" w:sz="0" w:space="0" w:color="auto"/>
        <w:left w:val="none" w:sz="0" w:space="0" w:color="auto"/>
        <w:bottom w:val="none" w:sz="0" w:space="0" w:color="auto"/>
        <w:right w:val="none" w:sz="0" w:space="0" w:color="auto"/>
      </w:divBdr>
    </w:div>
    <w:div w:id="1806309509">
      <w:bodyDiv w:val="1"/>
      <w:marLeft w:val="0"/>
      <w:marRight w:val="0"/>
      <w:marTop w:val="0"/>
      <w:marBottom w:val="0"/>
      <w:divBdr>
        <w:top w:val="none" w:sz="0" w:space="0" w:color="auto"/>
        <w:left w:val="none" w:sz="0" w:space="0" w:color="auto"/>
        <w:bottom w:val="none" w:sz="0" w:space="0" w:color="auto"/>
        <w:right w:val="none" w:sz="0" w:space="0" w:color="auto"/>
      </w:divBdr>
    </w:div>
    <w:div w:id="1807114716">
      <w:bodyDiv w:val="1"/>
      <w:marLeft w:val="0"/>
      <w:marRight w:val="0"/>
      <w:marTop w:val="0"/>
      <w:marBottom w:val="0"/>
      <w:divBdr>
        <w:top w:val="none" w:sz="0" w:space="0" w:color="auto"/>
        <w:left w:val="none" w:sz="0" w:space="0" w:color="auto"/>
        <w:bottom w:val="none" w:sz="0" w:space="0" w:color="auto"/>
        <w:right w:val="none" w:sz="0" w:space="0" w:color="auto"/>
      </w:divBdr>
    </w:div>
    <w:div w:id="1811898186">
      <w:bodyDiv w:val="1"/>
      <w:marLeft w:val="0"/>
      <w:marRight w:val="0"/>
      <w:marTop w:val="0"/>
      <w:marBottom w:val="0"/>
      <w:divBdr>
        <w:top w:val="none" w:sz="0" w:space="0" w:color="auto"/>
        <w:left w:val="none" w:sz="0" w:space="0" w:color="auto"/>
        <w:bottom w:val="none" w:sz="0" w:space="0" w:color="auto"/>
        <w:right w:val="none" w:sz="0" w:space="0" w:color="auto"/>
      </w:divBdr>
    </w:div>
    <w:div w:id="1812942015">
      <w:bodyDiv w:val="1"/>
      <w:marLeft w:val="0"/>
      <w:marRight w:val="0"/>
      <w:marTop w:val="0"/>
      <w:marBottom w:val="0"/>
      <w:divBdr>
        <w:top w:val="none" w:sz="0" w:space="0" w:color="auto"/>
        <w:left w:val="none" w:sz="0" w:space="0" w:color="auto"/>
        <w:bottom w:val="none" w:sz="0" w:space="0" w:color="auto"/>
        <w:right w:val="none" w:sz="0" w:space="0" w:color="auto"/>
      </w:divBdr>
    </w:div>
    <w:div w:id="1824808811">
      <w:bodyDiv w:val="1"/>
      <w:marLeft w:val="0"/>
      <w:marRight w:val="0"/>
      <w:marTop w:val="0"/>
      <w:marBottom w:val="0"/>
      <w:divBdr>
        <w:top w:val="none" w:sz="0" w:space="0" w:color="auto"/>
        <w:left w:val="none" w:sz="0" w:space="0" w:color="auto"/>
        <w:bottom w:val="none" w:sz="0" w:space="0" w:color="auto"/>
        <w:right w:val="none" w:sz="0" w:space="0" w:color="auto"/>
      </w:divBdr>
    </w:div>
    <w:div w:id="1830172350">
      <w:bodyDiv w:val="1"/>
      <w:marLeft w:val="0"/>
      <w:marRight w:val="0"/>
      <w:marTop w:val="0"/>
      <w:marBottom w:val="0"/>
      <w:divBdr>
        <w:top w:val="none" w:sz="0" w:space="0" w:color="auto"/>
        <w:left w:val="none" w:sz="0" w:space="0" w:color="auto"/>
        <w:bottom w:val="none" w:sz="0" w:space="0" w:color="auto"/>
        <w:right w:val="none" w:sz="0" w:space="0" w:color="auto"/>
      </w:divBdr>
    </w:div>
    <w:div w:id="1848326241">
      <w:bodyDiv w:val="1"/>
      <w:marLeft w:val="0"/>
      <w:marRight w:val="0"/>
      <w:marTop w:val="0"/>
      <w:marBottom w:val="0"/>
      <w:divBdr>
        <w:top w:val="none" w:sz="0" w:space="0" w:color="auto"/>
        <w:left w:val="none" w:sz="0" w:space="0" w:color="auto"/>
        <w:bottom w:val="none" w:sz="0" w:space="0" w:color="auto"/>
        <w:right w:val="none" w:sz="0" w:space="0" w:color="auto"/>
      </w:divBdr>
    </w:div>
    <w:div w:id="1852522431">
      <w:bodyDiv w:val="1"/>
      <w:marLeft w:val="0"/>
      <w:marRight w:val="0"/>
      <w:marTop w:val="0"/>
      <w:marBottom w:val="0"/>
      <w:divBdr>
        <w:top w:val="none" w:sz="0" w:space="0" w:color="auto"/>
        <w:left w:val="none" w:sz="0" w:space="0" w:color="auto"/>
        <w:bottom w:val="none" w:sz="0" w:space="0" w:color="auto"/>
        <w:right w:val="none" w:sz="0" w:space="0" w:color="auto"/>
      </w:divBdr>
    </w:div>
    <w:div w:id="1853297769">
      <w:bodyDiv w:val="1"/>
      <w:marLeft w:val="0"/>
      <w:marRight w:val="0"/>
      <w:marTop w:val="0"/>
      <w:marBottom w:val="0"/>
      <w:divBdr>
        <w:top w:val="none" w:sz="0" w:space="0" w:color="auto"/>
        <w:left w:val="none" w:sz="0" w:space="0" w:color="auto"/>
        <w:bottom w:val="none" w:sz="0" w:space="0" w:color="auto"/>
        <w:right w:val="none" w:sz="0" w:space="0" w:color="auto"/>
      </w:divBdr>
    </w:div>
    <w:div w:id="1854027468">
      <w:bodyDiv w:val="1"/>
      <w:marLeft w:val="0"/>
      <w:marRight w:val="0"/>
      <w:marTop w:val="0"/>
      <w:marBottom w:val="0"/>
      <w:divBdr>
        <w:top w:val="none" w:sz="0" w:space="0" w:color="auto"/>
        <w:left w:val="none" w:sz="0" w:space="0" w:color="auto"/>
        <w:bottom w:val="none" w:sz="0" w:space="0" w:color="auto"/>
        <w:right w:val="none" w:sz="0" w:space="0" w:color="auto"/>
      </w:divBdr>
    </w:div>
    <w:div w:id="1862696816">
      <w:bodyDiv w:val="1"/>
      <w:marLeft w:val="0"/>
      <w:marRight w:val="0"/>
      <w:marTop w:val="0"/>
      <w:marBottom w:val="0"/>
      <w:divBdr>
        <w:top w:val="none" w:sz="0" w:space="0" w:color="auto"/>
        <w:left w:val="none" w:sz="0" w:space="0" w:color="auto"/>
        <w:bottom w:val="none" w:sz="0" w:space="0" w:color="auto"/>
        <w:right w:val="none" w:sz="0" w:space="0" w:color="auto"/>
      </w:divBdr>
    </w:div>
    <w:div w:id="1868719142">
      <w:bodyDiv w:val="1"/>
      <w:marLeft w:val="0"/>
      <w:marRight w:val="0"/>
      <w:marTop w:val="0"/>
      <w:marBottom w:val="0"/>
      <w:divBdr>
        <w:top w:val="none" w:sz="0" w:space="0" w:color="auto"/>
        <w:left w:val="none" w:sz="0" w:space="0" w:color="auto"/>
        <w:bottom w:val="none" w:sz="0" w:space="0" w:color="auto"/>
        <w:right w:val="none" w:sz="0" w:space="0" w:color="auto"/>
      </w:divBdr>
    </w:div>
    <w:div w:id="1874537191">
      <w:bodyDiv w:val="1"/>
      <w:marLeft w:val="0"/>
      <w:marRight w:val="0"/>
      <w:marTop w:val="0"/>
      <w:marBottom w:val="0"/>
      <w:divBdr>
        <w:top w:val="none" w:sz="0" w:space="0" w:color="auto"/>
        <w:left w:val="none" w:sz="0" w:space="0" w:color="auto"/>
        <w:bottom w:val="none" w:sz="0" w:space="0" w:color="auto"/>
        <w:right w:val="none" w:sz="0" w:space="0" w:color="auto"/>
      </w:divBdr>
    </w:div>
    <w:div w:id="1879080826">
      <w:bodyDiv w:val="1"/>
      <w:marLeft w:val="0"/>
      <w:marRight w:val="0"/>
      <w:marTop w:val="0"/>
      <w:marBottom w:val="0"/>
      <w:divBdr>
        <w:top w:val="none" w:sz="0" w:space="0" w:color="auto"/>
        <w:left w:val="none" w:sz="0" w:space="0" w:color="auto"/>
        <w:bottom w:val="none" w:sz="0" w:space="0" w:color="auto"/>
        <w:right w:val="none" w:sz="0" w:space="0" w:color="auto"/>
      </w:divBdr>
    </w:div>
    <w:div w:id="1879656505">
      <w:bodyDiv w:val="1"/>
      <w:marLeft w:val="0"/>
      <w:marRight w:val="0"/>
      <w:marTop w:val="0"/>
      <w:marBottom w:val="0"/>
      <w:divBdr>
        <w:top w:val="none" w:sz="0" w:space="0" w:color="auto"/>
        <w:left w:val="none" w:sz="0" w:space="0" w:color="auto"/>
        <w:bottom w:val="none" w:sz="0" w:space="0" w:color="auto"/>
        <w:right w:val="none" w:sz="0" w:space="0" w:color="auto"/>
      </w:divBdr>
    </w:div>
    <w:div w:id="1886330863">
      <w:bodyDiv w:val="1"/>
      <w:marLeft w:val="0"/>
      <w:marRight w:val="0"/>
      <w:marTop w:val="0"/>
      <w:marBottom w:val="0"/>
      <w:divBdr>
        <w:top w:val="none" w:sz="0" w:space="0" w:color="auto"/>
        <w:left w:val="none" w:sz="0" w:space="0" w:color="auto"/>
        <w:bottom w:val="none" w:sz="0" w:space="0" w:color="auto"/>
        <w:right w:val="none" w:sz="0" w:space="0" w:color="auto"/>
      </w:divBdr>
    </w:div>
    <w:div w:id="1888444589">
      <w:bodyDiv w:val="1"/>
      <w:marLeft w:val="0"/>
      <w:marRight w:val="0"/>
      <w:marTop w:val="0"/>
      <w:marBottom w:val="0"/>
      <w:divBdr>
        <w:top w:val="none" w:sz="0" w:space="0" w:color="auto"/>
        <w:left w:val="none" w:sz="0" w:space="0" w:color="auto"/>
        <w:bottom w:val="none" w:sz="0" w:space="0" w:color="auto"/>
        <w:right w:val="none" w:sz="0" w:space="0" w:color="auto"/>
      </w:divBdr>
    </w:div>
    <w:div w:id="1891920604">
      <w:bodyDiv w:val="1"/>
      <w:marLeft w:val="0"/>
      <w:marRight w:val="0"/>
      <w:marTop w:val="0"/>
      <w:marBottom w:val="0"/>
      <w:divBdr>
        <w:top w:val="none" w:sz="0" w:space="0" w:color="auto"/>
        <w:left w:val="none" w:sz="0" w:space="0" w:color="auto"/>
        <w:bottom w:val="none" w:sz="0" w:space="0" w:color="auto"/>
        <w:right w:val="none" w:sz="0" w:space="0" w:color="auto"/>
      </w:divBdr>
    </w:div>
    <w:div w:id="1903565234">
      <w:bodyDiv w:val="1"/>
      <w:marLeft w:val="0"/>
      <w:marRight w:val="0"/>
      <w:marTop w:val="0"/>
      <w:marBottom w:val="0"/>
      <w:divBdr>
        <w:top w:val="none" w:sz="0" w:space="0" w:color="auto"/>
        <w:left w:val="none" w:sz="0" w:space="0" w:color="auto"/>
        <w:bottom w:val="none" w:sz="0" w:space="0" w:color="auto"/>
        <w:right w:val="none" w:sz="0" w:space="0" w:color="auto"/>
      </w:divBdr>
    </w:div>
    <w:div w:id="1905329749">
      <w:bodyDiv w:val="1"/>
      <w:marLeft w:val="0"/>
      <w:marRight w:val="0"/>
      <w:marTop w:val="0"/>
      <w:marBottom w:val="0"/>
      <w:divBdr>
        <w:top w:val="none" w:sz="0" w:space="0" w:color="auto"/>
        <w:left w:val="none" w:sz="0" w:space="0" w:color="auto"/>
        <w:bottom w:val="none" w:sz="0" w:space="0" w:color="auto"/>
        <w:right w:val="none" w:sz="0" w:space="0" w:color="auto"/>
      </w:divBdr>
    </w:div>
    <w:div w:id="1918710805">
      <w:bodyDiv w:val="1"/>
      <w:marLeft w:val="0"/>
      <w:marRight w:val="0"/>
      <w:marTop w:val="0"/>
      <w:marBottom w:val="0"/>
      <w:divBdr>
        <w:top w:val="none" w:sz="0" w:space="0" w:color="auto"/>
        <w:left w:val="none" w:sz="0" w:space="0" w:color="auto"/>
        <w:bottom w:val="none" w:sz="0" w:space="0" w:color="auto"/>
        <w:right w:val="none" w:sz="0" w:space="0" w:color="auto"/>
      </w:divBdr>
    </w:div>
    <w:div w:id="1929121305">
      <w:bodyDiv w:val="1"/>
      <w:marLeft w:val="0"/>
      <w:marRight w:val="0"/>
      <w:marTop w:val="0"/>
      <w:marBottom w:val="0"/>
      <w:divBdr>
        <w:top w:val="none" w:sz="0" w:space="0" w:color="auto"/>
        <w:left w:val="none" w:sz="0" w:space="0" w:color="auto"/>
        <w:bottom w:val="none" w:sz="0" w:space="0" w:color="auto"/>
        <w:right w:val="none" w:sz="0" w:space="0" w:color="auto"/>
      </w:divBdr>
    </w:div>
    <w:div w:id="1939680673">
      <w:bodyDiv w:val="1"/>
      <w:marLeft w:val="0"/>
      <w:marRight w:val="0"/>
      <w:marTop w:val="0"/>
      <w:marBottom w:val="0"/>
      <w:divBdr>
        <w:top w:val="none" w:sz="0" w:space="0" w:color="auto"/>
        <w:left w:val="none" w:sz="0" w:space="0" w:color="auto"/>
        <w:bottom w:val="none" w:sz="0" w:space="0" w:color="auto"/>
        <w:right w:val="none" w:sz="0" w:space="0" w:color="auto"/>
      </w:divBdr>
    </w:div>
    <w:div w:id="1942178138">
      <w:bodyDiv w:val="1"/>
      <w:marLeft w:val="0"/>
      <w:marRight w:val="0"/>
      <w:marTop w:val="0"/>
      <w:marBottom w:val="0"/>
      <w:divBdr>
        <w:top w:val="none" w:sz="0" w:space="0" w:color="auto"/>
        <w:left w:val="none" w:sz="0" w:space="0" w:color="auto"/>
        <w:bottom w:val="none" w:sz="0" w:space="0" w:color="auto"/>
        <w:right w:val="none" w:sz="0" w:space="0" w:color="auto"/>
      </w:divBdr>
    </w:div>
    <w:div w:id="1956985089">
      <w:bodyDiv w:val="1"/>
      <w:marLeft w:val="0"/>
      <w:marRight w:val="0"/>
      <w:marTop w:val="0"/>
      <w:marBottom w:val="0"/>
      <w:divBdr>
        <w:top w:val="none" w:sz="0" w:space="0" w:color="auto"/>
        <w:left w:val="none" w:sz="0" w:space="0" w:color="auto"/>
        <w:bottom w:val="none" w:sz="0" w:space="0" w:color="auto"/>
        <w:right w:val="none" w:sz="0" w:space="0" w:color="auto"/>
      </w:divBdr>
    </w:div>
    <w:div w:id="1958442071">
      <w:bodyDiv w:val="1"/>
      <w:marLeft w:val="0"/>
      <w:marRight w:val="0"/>
      <w:marTop w:val="0"/>
      <w:marBottom w:val="0"/>
      <w:divBdr>
        <w:top w:val="none" w:sz="0" w:space="0" w:color="auto"/>
        <w:left w:val="none" w:sz="0" w:space="0" w:color="auto"/>
        <w:bottom w:val="none" w:sz="0" w:space="0" w:color="auto"/>
        <w:right w:val="none" w:sz="0" w:space="0" w:color="auto"/>
      </w:divBdr>
    </w:div>
    <w:div w:id="1963222677">
      <w:bodyDiv w:val="1"/>
      <w:marLeft w:val="0"/>
      <w:marRight w:val="0"/>
      <w:marTop w:val="0"/>
      <w:marBottom w:val="0"/>
      <w:divBdr>
        <w:top w:val="none" w:sz="0" w:space="0" w:color="auto"/>
        <w:left w:val="none" w:sz="0" w:space="0" w:color="auto"/>
        <w:bottom w:val="none" w:sz="0" w:space="0" w:color="auto"/>
        <w:right w:val="none" w:sz="0" w:space="0" w:color="auto"/>
      </w:divBdr>
    </w:div>
    <w:div w:id="1963995195">
      <w:bodyDiv w:val="1"/>
      <w:marLeft w:val="0"/>
      <w:marRight w:val="0"/>
      <w:marTop w:val="0"/>
      <w:marBottom w:val="0"/>
      <w:divBdr>
        <w:top w:val="none" w:sz="0" w:space="0" w:color="auto"/>
        <w:left w:val="none" w:sz="0" w:space="0" w:color="auto"/>
        <w:bottom w:val="none" w:sz="0" w:space="0" w:color="auto"/>
        <w:right w:val="none" w:sz="0" w:space="0" w:color="auto"/>
      </w:divBdr>
    </w:div>
    <w:div w:id="1966883735">
      <w:bodyDiv w:val="1"/>
      <w:marLeft w:val="0"/>
      <w:marRight w:val="0"/>
      <w:marTop w:val="0"/>
      <w:marBottom w:val="0"/>
      <w:divBdr>
        <w:top w:val="none" w:sz="0" w:space="0" w:color="auto"/>
        <w:left w:val="none" w:sz="0" w:space="0" w:color="auto"/>
        <w:bottom w:val="none" w:sz="0" w:space="0" w:color="auto"/>
        <w:right w:val="none" w:sz="0" w:space="0" w:color="auto"/>
      </w:divBdr>
    </w:div>
    <w:div w:id="1967806313">
      <w:bodyDiv w:val="1"/>
      <w:marLeft w:val="0"/>
      <w:marRight w:val="0"/>
      <w:marTop w:val="0"/>
      <w:marBottom w:val="0"/>
      <w:divBdr>
        <w:top w:val="none" w:sz="0" w:space="0" w:color="auto"/>
        <w:left w:val="none" w:sz="0" w:space="0" w:color="auto"/>
        <w:bottom w:val="none" w:sz="0" w:space="0" w:color="auto"/>
        <w:right w:val="none" w:sz="0" w:space="0" w:color="auto"/>
      </w:divBdr>
    </w:div>
    <w:div w:id="1968924800">
      <w:bodyDiv w:val="1"/>
      <w:marLeft w:val="0"/>
      <w:marRight w:val="0"/>
      <w:marTop w:val="0"/>
      <w:marBottom w:val="0"/>
      <w:divBdr>
        <w:top w:val="none" w:sz="0" w:space="0" w:color="auto"/>
        <w:left w:val="none" w:sz="0" w:space="0" w:color="auto"/>
        <w:bottom w:val="none" w:sz="0" w:space="0" w:color="auto"/>
        <w:right w:val="none" w:sz="0" w:space="0" w:color="auto"/>
      </w:divBdr>
    </w:div>
    <w:div w:id="1976371200">
      <w:bodyDiv w:val="1"/>
      <w:marLeft w:val="0"/>
      <w:marRight w:val="0"/>
      <w:marTop w:val="0"/>
      <w:marBottom w:val="0"/>
      <w:divBdr>
        <w:top w:val="none" w:sz="0" w:space="0" w:color="auto"/>
        <w:left w:val="none" w:sz="0" w:space="0" w:color="auto"/>
        <w:bottom w:val="none" w:sz="0" w:space="0" w:color="auto"/>
        <w:right w:val="none" w:sz="0" w:space="0" w:color="auto"/>
      </w:divBdr>
    </w:div>
    <w:div w:id="1988824604">
      <w:bodyDiv w:val="1"/>
      <w:marLeft w:val="0"/>
      <w:marRight w:val="0"/>
      <w:marTop w:val="0"/>
      <w:marBottom w:val="0"/>
      <w:divBdr>
        <w:top w:val="none" w:sz="0" w:space="0" w:color="auto"/>
        <w:left w:val="none" w:sz="0" w:space="0" w:color="auto"/>
        <w:bottom w:val="none" w:sz="0" w:space="0" w:color="auto"/>
        <w:right w:val="none" w:sz="0" w:space="0" w:color="auto"/>
      </w:divBdr>
    </w:div>
    <w:div w:id="1993562374">
      <w:bodyDiv w:val="1"/>
      <w:marLeft w:val="0"/>
      <w:marRight w:val="0"/>
      <w:marTop w:val="0"/>
      <w:marBottom w:val="0"/>
      <w:divBdr>
        <w:top w:val="none" w:sz="0" w:space="0" w:color="auto"/>
        <w:left w:val="none" w:sz="0" w:space="0" w:color="auto"/>
        <w:bottom w:val="none" w:sz="0" w:space="0" w:color="auto"/>
        <w:right w:val="none" w:sz="0" w:space="0" w:color="auto"/>
      </w:divBdr>
    </w:div>
    <w:div w:id="1998418346">
      <w:bodyDiv w:val="1"/>
      <w:marLeft w:val="0"/>
      <w:marRight w:val="0"/>
      <w:marTop w:val="0"/>
      <w:marBottom w:val="0"/>
      <w:divBdr>
        <w:top w:val="none" w:sz="0" w:space="0" w:color="auto"/>
        <w:left w:val="none" w:sz="0" w:space="0" w:color="auto"/>
        <w:bottom w:val="none" w:sz="0" w:space="0" w:color="auto"/>
        <w:right w:val="none" w:sz="0" w:space="0" w:color="auto"/>
      </w:divBdr>
    </w:div>
    <w:div w:id="2002393854">
      <w:bodyDiv w:val="1"/>
      <w:marLeft w:val="0"/>
      <w:marRight w:val="0"/>
      <w:marTop w:val="0"/>
      <w:marBottom w:val="0"/>
      <w:divBdr>
        <w:top w:val="none" w:sz="0" w:space="0" w:color="auto"/>
        <w:left w:val="none" w:sz="0" w:space="0" w:color="auto"/>
        <w:bottom w:val="none" w:sz="0" w:space="0" w:color="auto"/>
        <w:right w:val="none" w:sz="0" w:space="0" w:color="auto"/>
      </w:divBdr>
    </w:div>
    <w:div w:id="2022585438">
      <w:bodyDiv w:val="1"/>
      <w:marLeft w:val="0"/>
      <w:marRight w:val="0"/>
      <w:marTop w:val="0"/>
      <w:marBottom w:val="0"/>
      <w:divBdr>
        <w:top w:val="none" w:sz="0" w:space="0" w:color="auto"/>
        <w:left w:val="none" w:sz="0" w:space="0" w:color="auto"/>
        <w:bottom w:val="none" w:sz="0" w:space="0" w:color="auto"/>
        <w:right w:val="none" w:sz="0" w:space="0" w:color="auto"/>
      </w:divBdr>
    </w:div>
    <w:div w:id="2025861389">
      <w:bodyDiv w:val="1"/>
      <w:marLeft w:val="0"/>
      <w:marRight w:val="0"/>
      <w:marTop w:val="0"/>
      <w:marBottom w:val="0"/>
      <w:divBdr>
        <w:top w:val="none" w:sz="0" w:space="0" w:color="auto"/>
        <w:left w:val="none" w:sz="0" w:space="0" w:color="auto"/>
        <w:bottom w:val="none" w:sz="0" w:space="0" w:color="auto"/>
        <w:right w:val="none" w:sz="0" w:space="0" w:color="auto"/>
      </w:divBdr>
    </w:div>
    <w:div w:id="2041973711">
      <w:bodyDiv w:val="1"/>
      <w:marLeft w:val="0"/>
      <w:marRight w:val="0"/>
      <w:marTop w:val="0"/>
      <w:marBottom w:val="0"/>
      <w:divBdr>
        <w:top w:val="none" w:sz="0" w:space="0" w:color="auto"/>
        <w:left w:val="none" w:sz="0" w:space="0" w:color="auto"/>
        <w:bottom w:val="none" w:sz="0" w:space="0" w:color="auto"/>
        <w:right w:val="none" w:sz="0" w:space="0" w:color="auto"/>
      </w:divBdr>
    </w:div>
    <w:div w:id="2048486008">
      <w:bodyDiv w:val="1"/>
      <w:marLeft w:val="0"/>
      <w:marRight w:val="0"/>
      <w:marTop w:val="0"/>
      <w:marBottom w:val="0"/>
      <w:divBdr>
        <w:top w:val="none" w:sz="0" w:space="0" w:color="auto"/>
        <w:left w:val="none" w:sz="0" w:space="0" w:color="auto"/>
        <w:bottom w:val="none" w:sz="0" w:space="0" w:color="auto"/>
        <w:right w:val="none" w:sz="0" w:space="0" w:color="auto"/>
      </w:divBdr>
    </w:div>
    <w:div w:id="2053923021">
      <w:bodyDiv w:val="1"/>
      <w:marLeft w:val="0"/>
      <w:marRight w:val="0"/>
      <w:marTop w:val="0"/>
      <w:marBottom w:val="0"/>
      <w:divBdr>
        <w:top w:val="none" w:sz="0" w:space="0" w:color="auto"/>
        <w:left w:val="none" w:sz="0" w:space="0" w:color="auto"/>
        <w:bottom w:val="none" w:sz="0" w:space="0" w:color="auto"/>
        <w:right w:val="none" w:sz="0" w:space="0" w:color="auto"/>
      </w:divBdr>
    </w:div>
    <w:div w:id="2057119410">
      <w:bodyDiv w:val="1"/>
      <w:marLeft w:val="0"/>
      <w:marRight w:val="0"/>
      <w:marTop w:val="0"/>
      <w:marBottom w:val="0"/>
      <w:divBdr>
        <w:top w:val="none" w:sz="0" w:space="0" w:color="auto"/>
        <w:left w:val="none" w:sz="0" w:space="0" w:color="auto"/>
        <w:bottom w:val="none" w:sz="0" w:space="0" w:color="auto"/>
        <w:right w:val="none" w:sz="0" w:space="0" w:color="auto"/>
      </w:divBdr>
    </w:div>
    <w:div w:id="2070415573">
      <w:bodyDiv w:val="1"/>
      <w:marLeft w:val="0"/>
      <w:marRight w:val="0"/>
      <w:marTop w:val="0"/>
      <w:marBottom w:val="0"/>
      <w:divBdr>
        <w:top w:val="none" w:sz="0" w:space="0" w:color="auto"/>
        <w:left w:val="none" w:sz="0" w:space="0" w:color="auto"/>
        <w:bottom w:val="none" w:sz="0" w:space="0" w:color="auto"/>
        <w:right w:val="none" w:sz="0" w:space="0" w:color="auto"/>
      </w:divBdr>
    </w:div>
    <w:div w:id="2072265720">
      <w:bodyDiv w:val="1"/>
      <w:marLeft w:val="0"/>
      <w:marRight w:val="0"/>
      <w:marTop w:val="0"/>
      <w:marBottom w:val="0"/>
      <w:divBdr>
        <w:top w:val="none" w:sz="0" w:space="0" w:color="auto"/>
        <w:left w:val="none" w:sz="0" w:space="0" w:color="auto"/>
        <w:bottom w:val="none" w:sz="0" w:space="0" w:color="auto"/>
        <w:right w:val="none" w:sz="0" w:space="0" w:color="auto"/>
      </w:divBdr>
    </w:div>
    <w:div w:id="2073190168">
      <w:bodyDiv w:val="1"/>
      <w:marLeft w:val="0"/>
      <w:marRight w:val="0"/>
      <w:marTop w:val="0"/>
      <w:marBottom w:val="0"/>
      <w:divBdr>
        <w:top w:val="none" w:sz="0" w:space="0" w:color="auto"/>
        <w:left w:val="none" w:sz="0" w:space="0" w:color="auto"/>
        <w:bottom w:val="none" w:sz="0" w:space="0" w:color="auto"/>
        <w:right w:val="none" w:sz="0" w:space="0" w:color="auto"/>
      </w:divBdr>
    </w:div>
    <w:div w:id="2074497690">
      <w:bodyDiv w:val="1"/>
      <w:marLeft w:val="0"/>
      <w:marRight w:val="0"/>
      <w:marTop w:val="0"/>
      <w:marBottom w:val="0"/>
      <w:divBdr>
        <w:top w:val="none" w:sz="0" w:space="0" w:color="auto"/>
        <w:left w:val="none" w:sz="0" w:space="0" w:color="auto"/>
        <w:bottom w:val="none" w:sz="0" w:space="0" w:color="auto"/>
        <w:right w:val="none" w:sz="0" w:space="0" w:color="auto"/>
      </w:divBdr>
    </w:div>
    <w:div w:id="2107461463">
      <w:bodyDiv w:val="1"/>
      <w:marLeft w:val="0"/>
      <w:marRight w:val="0"/>
      <w:marTop w:val="0"/>
      <w:marBottom w:val="0"/>
      <w:divBdr>
        <w:top w:val="none" w:sz="0" w:space="0" w:color="auto"/>
        <w:left w:val="none" w:sz="0" w:space="0" w:color="auto"/>
        <w:bottom w:val="none" w:sz="0" w:space="0" w:color="auto"/>
        <w:right w:val="none" w:sz="0" w:space="0" w:color="auto"/>
      </w:divBdr>
    </w:div>
    <w:div w:id="2108040310">
      <w:bodyDiv w:val="1"/>
      <w:marLeft w:val="0"/>
      <w:marRight w:val="0"/>
      <w:marTop w:val="0"/>
      <w:marBottom w:val="0"/>
      <w:divBdr>
        <w:top w:val="none" w:sz="0" w:space="0" w:color="auto"/>
        <w:left w:val="none" w:sz="0" w:space="0" w:color="auto"/>
        <w:bottom w:val="none" w:sz="0" w:space="0" w:color="auto"/>
        <w:right w:val="none" w:sz="0" w:space="0" w:color="auto"/>
      </w:divBdr>
    </w:div>
    <w:div w:id="2110004804">
      <w:bodyDiv w:val="1"/>
      <w:marLeft w:val="0"/>
      <w:marRight w:val="0"/>
      <w:marTop w:val="0"/>
      <w:marBottom w:val="0"/>
      <w:divBdr>
        <w:top w:val="none" w:sz="0" w:space="0" w:color="auto"/>
        <w:left w:val="none" w:sz="0" w:space="0" w:color="auto"/>
        <w:bottom w:val="none" w:sz="0" w:space="0" w:color="auto"/>
        <w:right w:val="none" w:sz="0" w:space="0" w:color="auto"/>
      </w:divBdr>
    </w:div>
    <w:div w:id="2111315699">
      <w:bodyDiv w:val="1"/>
      <w:marLeft w:val="0"/>
      <w:marRight w:val="0"/>
      <w:marTop w:val="0"/>
      <w:marBottom w:val="0"/>
      <w:divBdr>
        <w:top w:val="none" w:sz="0" w:space="0" w:color="auto"/>
        <w:left w:val="none" w:sz="0" w:space="0" w:color="auto"/>
        <w:bottom w:val="none" w:sz="0" w:space="0" w:color="auto"/>
        <w:right w:val="none" w:sz="0" w:space="0" w:color="auto"/>
      </w:divBdr>
    </w:div>
    <w:div w:id="2113011935">
      <w:bodyDiv w:val="1"/>
      <w:marLeft w:val="0"/>
      <w:marRight w:val="0"/>
      <w:marTop w:val="0"/>
      <w:marBottom w:val="0"/>
      <w:divBdr>
        <w:top w:val="none" w:sz="0" w:space="0" w:color="auto"/>
        <w:left w:val="none" w:sz="0" w:space="0" w:color="auto"/>
        <w:bottom w:val="none" w:sz="0" w:space="0" w:color="auto"/>
        <w:right w:val="none" w:sz="0" w:space="0" w:color="auto"/>
      </w:divBdr>
    </w:div>
    <w:div w:id="2115781154">
      <w:bodyDiv w:val="1"/>
      <w:marLeft w:val="0"/>
      <w:marRight w:val="0"/>
      <w:marTop w:val="0"/>
      <w:marBottom w:val="0"/>
      <w:divBdr>
        <w:top w:val="none" w:sz="0" w:space="0" w:color="auto"/>
        <w:left w:val="none" w:sz="0" w:space="0" w:color="auto"/>
        <w:bottom w:val="none" w:sz="0" w:space="0" w:color="auto"/>
        <w:right w:val="none" w:sz="0" w:space="0" w:color="auto"/>
      </w:divBdr>
    </w:div>
    <w:div w:id="2125884892">
      <w:bodyDiv w:val="1"/>
      <w:marLeft w:val="0"/>
      <w:marRight w:val="0"/>
      <w:marTop w:val="0"/>
      <w:marBottom w:val="0"/>
      <w:divBdr>
        <w:top w:val="none" w:sz="0" w:space="0" w:color="auto"/>
        <w:left w:val="none" w:sz="0" w:space="0" w:color="auto"/>
        <w:bottom w:val="none" w:sz="0" w:space="0" w:color="auto"/>
        <w:right w:val="none" w:sz="0" w:space="0" w:color="auto"/>
      </w:divBdr>
    </w:div>
    <w:div w:id="2126608035">
      <w:bodyDiv w:val="1"/>
      <w:marLeft w:val="0"/>
      <w:marRight w:val="0"/>
      <w:marTop w:val="0"/>
      <w:marBottom w:val="0"/>
      <w:divBdr>
        <w:top w:val="none" w:sz="0" w:space="0" w:color="auto"/>
        <w:left w:val="none" w:sz="0" w:space="0" w:color="auto"/>
        <w:bottom w:val="none" w:sz="0" w:space="0" w:color="auto"/>
        <w:right w:val="none" w:sz="0" w:space="0" w:color="auto"/>
      </w:divBdr>
    </w:div>
    <w:div w:id="2127117716">
      <w:bodyDiv w:val="1"/>
      <w:marLeft w:val="0"/>
      <w:marRight w:val="0"/>
      <w:marTop w:val="0"/>
      <w:marBottom w:val="0"/>
      <w:divBdr>
        <w:top w:val="none" w:sz="0" w:space="0" w:color="auto"/>
        <w:left w:val="none" w:sz="0" w:space="0" w:color="auto"/>
        <w:bottom w:val="none" w:sz="0" w:space="0" w:color="auto"/>
        <w:right w:val="none" w:sz="0" w:space="0" w:color="auto"/>
      </w:divBdr>
    </w:div>
    <w:div w:id="2134058840">
      <w:bodyDiv w:val="1"/>
      <w:marLeft w:val="0"/>
      <w:marRight w:val="0"/>
      <w:marTop w:val="0"/>
      <w:marBottom w:val="0"/>
      <w:divBdr>
        <w:top w:val="none" w:sz="0" w:space="0" w:color="auto"/>
        <w:left w:val="none" w:sz="0" w:space="0" w:color="auto"/>
        <w:bottom w:val="none" w:sz="0" w:space="0" w:color="auto"/>
        <w:right w:val="none" w:sz="0" w:space="0" w:color="auto"/>
      </w:divBdr>
    </w:div>
    <w:div w:id="2140225968">
      <w:bodyDiv w:val="1"/>
      <w:marLeft w:val="0"/>
      <w:marRight w:val="0"/>
      <w:marTop w:val="0"/>
      <w:marBottom w:val="0"/>
      <w:divBdr>
        <w:top w:val="none" w:sz="0" w:space="0" w:color="auto"/>
        <w:left w:val="none" w:sz="0" w:space="0" w:color="auto"/>
        <w:bottom w:val="none" w:sz="0" w:space="0" w:color="auto"/>
        <w:right w:val="none" w:sz="0" w:space="0" w:color="auto"/>
      </w:divBdr>
    </w:div>
    <w:div w:id="21417261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file:////van-ban/nghi-dinh-so-60-2003-nd-cp.aspx"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file:////van-ban/luat-ngan-sach-nha-nuoc-nam-2002.aspx"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file:////van-ban/quyet-dinh-60-2014-qd-ttg.aspx"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file:////van-ban/quyet-dinh-28-2014-qd-ttg.aspx" TargetMode="External"/><Relationship Id="rId4" Type="http://schemas.openxmlformats.org/officeDocument/2006/relationships/webSettings" Target="webSettings.xml"/><Relationship Id="rId9" Type="http://schemas.openxmlformats.org/officeDocument/2006/relationships/hyperlink" Target="file:////van-ban/nghi-dinh-215-2013-nd-cp.aspx"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271</TotalTime>
  <Pages>10</Pages>
  <Words>3296</Words>
  <Characters>18792</Characters>
  <Application>Microsoft Office Word</Application>
  <DocSecurity>0</DocSecurity>
  <Lines>156</Lines>
  <Paragraphs>44</Paragraphs>
  <ScaleCrop>false</ScaleCrop>
  <Company/>
  <LinksUpToDate>false</LinksUpToDate>
  <CharactersWithSpaces>22044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299</cp:revision>
  <dcterms:created xsi:type="dcterms:W3CDTF">2024-11-15T17:25:00Z</dcterms:created>
  <dcterms:modified xsi:type="dcterms:W3CDTF">2025-01-26T12:39:00Z</dcterms:modified>
</cp:coreProperties>
</file>