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4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815"/>
        <w:gridCol w:w="5945"/>
      </w:tblGrid>
      <w:tr w:rsidR="00255260" w14:paraId="23779854" w14:textId="77777777" w:rsidTr="00255260">
        <w:trPr>
          <w:tblCellSpacing w:w="40" w:type="dxa"/>
        </w:trPr>
        <w:tc>
          <w:tcPr>
            <w:tcW w:w="1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E6039" w14:textId="77777777" w:rsidR="00255260" w:rsidRDefault="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3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E36C2" w14:textId="77777777" w:rsidR="00255260" w:rsidRDefault="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5260" w14:paraId="2113CD1A" w14:textId="77777777" w:rsidTr="00255260">
        <w:trPr>
          <w:tblCellSpacing w:w="40" w:type="dxa"/>
        </w:trPr>
        <w:tc>
          <w:tcPr>
            <w:tcW w:w="17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B9EEA" w14:textId="77777777" w:rsidR="00255260" w:rsidRDefault="0025526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185/2004/NĐ-CP</w:t>
            </w:r>
          </w:p>
        </w:tc>
        <w:tc>
          <w:tcPr>
            <w:tcW w:w="3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C4D07" w14:textId="77777777" w:rsidR="00255260" w:rsidRDefault="0025526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11 năm 2004</w:t>
            </w:r>
          </w:p>
        </w:tc>
      </w:tr>
    </w:tbl>
    <w:p w14:paraId="0FB023D5" w14:textId="77777777" w:rsidR="00255260" w:rsidRDefault="00255260" w:rsidP="00255260">
      <w:pPr>
        <w:pStyle w:val="NormalWeb"/>
        <w:spacing w:after="90" w:afterAutospacing="0" w:line="345" w:lineRule="atLeast"/>
        <w:jc w:val="center"/>
        <w:rPr>
          <w:rFonts w:ascii="Arial" w:hAnsi="Arial" w:cs="Arial"/>
          <w:color w:val="000000"/>
          <w:sz w:val="21"/>
          <w:szCs w:val="21"/>
        </w:rPr>
      </w:pPr>
    </w:p>
    <w:p w14:paraId="735B5D7F"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31EB70B"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CHÍNH PHỦ SỐ 185/2004/NĐ-CP NGÀY 04 THÁNG 11 NĂM 2004 VỀ XỬ PHẠT VI PHẠM HÀNH CHÍNH TRONG LĨNH VỰC KẾ TOÁN</w:t>
      </w:r>
    </w:p>
    <w:p w14:paraId="1C60D5AC"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49F1F58F" w14:textId="77777777" w:rsidR="00255260" w:rsidRDefault="00255260" w:rsidP="00255260">
      <w:pPr>
        <w:pStyle w:val="NormalWeb"/>
        <w:spacing w:after="90" w:afterAutospacing="0" w:line="345" w:lineRule="atLeast"/>
        <w:jc w:val="both"/>
        <w:rPr>
          <w:rFonts w:ascii="Arial" w:hAnsi="Arial" w:cs="Arial"/>
          <w:color w:val="000000"/>
          <w:sz w:val="21"/>
          <w:szCs w:val="21"/>
        </w:rPr>
      </w:pPr>
    </w:p>
    <w:p w14:paraId="6266532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phủ</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w:t>
      </w:r>
    </w:p>
    <w:p w14:paraId="0A8FED3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8"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Kế toán</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17 tháng 6 năm 2003;</w:t>
      </w:r>
    </w:p>
    <w:p w14:paraId="4E8BEA6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Pháp lệnh Xử lý vi phạm hành chính</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02 tháng 7 năm 2002;</w:t>
      </w:r>
    </w:p>
    <w:p w14:paraId="68ABB38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E131A89"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w:t>
      </w:r>
    </w:p>
    <w:p w14:paraId="5DEDC11A"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515D94B"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23DB35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Phạm vi và đối tượng áp dụng</w:t>
      </w:r>
    </w:p>
    <w:p w14:paraId="0416DB9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việc xử phạt vi phạm hành chính đối với cá nhân, cơ quan, tổ chức trong nước và nước ngoài hoạt động tại Việt Nam (sau đây gọi chung là cá nhân, tổ chức) có hành vi cố ý hoặc vô ý vi phạm các quy định của pháp luật về kế toán mà không phải là tội phạm và theo quy định của Nghị định này phải bị xử phạt vi phạm hành chính, trừ trường hợp Điều ước quốc tế mà Cộng hoà xã hội chủ nghĩa Việt Nam ký kết hoặc gia nhập có quy định khác.</w:t>
      </w:r>
    </w:p>
    <w:p w14:paraId="7BF208E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 phạm hành chính trong lĩnh vực kế toán bao gồm:</w:t>
      </w:r>
    </w:p>
    <w:p w14:paraId="0F4CDE8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chứng từ kế toán;</w:t>
      </w:r>
    </w:p>
    <w:p w14:paraId="13020C6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sổ kế toán;</w:t>
      </w:r>
    </w:p>
    <w:p w14:paraId="50A2B51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tài khoản kế toán;</w:t>
      </w:r>
    </w:p>
    <w:p w14:paraId="0D092B5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báo cáo tài chính và công khai báo cáo tài chính;</w:t>
      </w:r>
    </w:p>
    <w:p w14:paraId="33D14EA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về kiểm tra kế toán;</w:t>
      </w:r>
    </w:p>
    <w:p w14:paraId="7FC220A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quy định về bảo quản, lưu trữ tài liệu kế toán;</w:t>
      </w:r>
    </w:p>
    <w:p w14:paraId="556C4A7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quy định về kiểm kê tài sản;</w:t>
      </w:r>
    </w:p>
    <w:p w14:paraId="3670908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 phạm quy định về tổ chức bộ máy kế toán, bố trí người làm kế toán hoặc thuê làm kế toán;</w:t>
      </w:r>
    </w:p>
    <w:p w14:paraId="1764EC0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 phạm quy định về hành nghề kế toán;</w:t>
      </w:r>
    </w:p>
    <w:p w14:paraId="15BF746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 phạm quy định về áp dụng chuẩn mực kế toán, chế độ kế toán và các quy định khác.</w:t>
      </w:r>
    </w:p>
    <w:p w14:paraId="6CE06AA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Nguyên tắc xử phạt vi phạm hành chính trong lĩnh vực kế toán</w:t>
      </w:r>
    </w:p>
    <w:p w14:paraId="78696CF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xử phạt vi phạm hành chính trong lĩnh vực kế toán được thực hiện theo quy định tại Điều 3 của Pháp lệnh Xử lý vi phạm hành chính ngày 02 tháng 7 năm 2002 (sau đây gọi tắt là Pháp lệnh Xử lý vi phạm hành chính).</w:t>
      </w:r>
    </w:p>
    <w:p w14:paraId="7F859B1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Thời hiệu xử phạt vi phạm hành chính</w:t>
      </w:r>
    </w:p>
    <w:p w14:paraId="439BA21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trong lĩnh vực kế toán là 02 năm, kể từ ngày hành vi vi phạm hành chính được thực hiện.</w:t>
      </w:r>
    </w:p>
    <w:p w14:paraId="44A6130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trong lĩnh vực kế toán thì bị xử phạt hành chính theo quy định của Nghị định này. Trường hợp này thời hiệu xử phạt vi phạm hành chính là 03 tháng, kể từ ngày người có thẩm quyền xử phạt nhận được quyết định đình chỉ điều tra hoặc đình chỉ khởi tố và hồ sơ vụ vi phạm.</w:t>
      </w:r>
    </w:p>
    <w:p w14:paraId="32343EF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quy định tại khoản 1, khoản 2 Điều này mà cá nhân, tổ chức lại thực hiện vi phạm hành chính mới trong lĩnh vực kế toán hoặc cố tình trốn tránh, cản trở việc xử phạt thì không áp dụng thời hiệu quy định tại khoản 1 và khoản 2 Điều này; thời hiệu xử phạt vi phạm hành chính được tính lại kể từ thời điểm thực hiện vi phạm hành chính mới hoặc thời điểm chấm dứt hành vi trốn tránh, cản trở việc xử phạt.</w:t>
      </w:r>
    </w:p>
    <w:p w14:paraId="195F902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xử phạt nếu để quá thời hiệu xử phạt vi phạm hành chính thì bị xử lý theo quy định tại Điều 121 của Pháp lệnh Xử lý vi phạm hành chính.</w:t>
      </w:r>
    </w:p>
    <w:p w14:paraId="0228D6A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Fonts w:ascii="Arial" w:hAnsi="Arial" w:cs="Arial"/>
          <w:color w:val="000000"/>
          <w:sz w:val="21"/>
          <w:szCs w:val="21"/>
        </w:rPr>
        <w:t>Thời hạn được coi là chưa bị xử phạt vi phạm hành chính</w:t>
      </w:r>
    </w:p>
    <w:p w14:paraId="73C03D0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bị xử phạt vi phạm hành chính trong lĩnh vực kế toán, nếu quá một năm, kể từ ngày chấp hành xong quyết định xử phạt hoặc từ ngày hết thời hiệu thi hành quyết định xử phạt mà không tái phạm thì được coi như chưa bị xử phạt vi phạm hành chính trong lĩnh vực kế toán.</w:t>
      </w:r>
    </w:p>
    <w:p w14:paraId="30F3214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color w:val="000000"/>
          <w:sz w:val="21"/>
          <w:szCs w:val="21"/>
        </w:rPr>
        <w:t> </w:t>
      </w:r>
      <w:r>
        <w:rPr>
          <w:rFonts w:ascii="Arial" w:hAnsi="Arial" w:cs="Arial"/>
          <w:color w:val="000000"/>
          <w:sz w:val="21"/>
          <w:szCs w:val="21"/>
        </w:rPr>
        <w:t>Hình thức xử phạt vi phạm hành chính trong lĩnh vực kế toán</w:t>
      </w:r>
    </w:p>
    <w:p w14:paraId="7A4F52A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hành vi vi phạm hành chính trong lĩnh vực kế toán, cá nhân, tổ chức phải chịu một trong các hình thức xử phạt chính sau đây:</w:t>
      </w:r>
    </w:p>
    <w:p w14:paraId="5023295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6FF693F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 đồng đến 20.000.000 đồng.</w:t>
      </w:r>
    </w:p>
    <w:p w14:paraId="6196AFD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mức độ vi phạm, cá nhân, tổ chức vi phạm còn có thể bị áp dụng hình thức xử phạt bổ sung quy định tại khoản 4 Điều 7, khoản 5 Điều 8, khoản 2 Điều 15 của Nghị định này.</w:t>
      </w:r>
    </w:p>
    <w:p w14:paraId="6CE4879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hình thức xử phạt quy định tại khoản 1 và khoản 2 Điều này, cá nhân, tổ chức vi phạm còn có thể bị áp dụng một hoặc các biện pháp khắc phục hậu quả quy định tại khoản 5 Điều 7, khoản 6 Điều 8, khoản 3 Điều 9, khoản 3 Điều 10, khoản 3 Điều 14, khoản 3 Điều 15, khoản 3 Điều 16 của Nghị định này.</w:t>
      </w:r>
    </w:p>
    <w:p w14:paraId="1631DC4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phạt tiền, mức tiền phạt cụ thể đối với một hành vi vi phạm hành chính là mức trung bình của khung tiền phạt được quy định tại Chương II của Nghị định này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quá mức tối đa của khung tiền phạt.</w:t>
      </w:r>
    </w:p>
    <w:p w14:paraId="11DC93E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Tình tiết giảm nhẹ, tăng nặng khi xử phạt vi phạm hành chính trong lĩnh vực kế toán</w:t>
      </w:r>
    </w:p>
    <w:p w14:paraId="5622749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Tình tiết giảm nhẹ:</w:t>
      </w:r>
    </w:p>
    <w:p w14:paraId="02DF616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vi phạm hành chính đã chủ động ngăn chặn, làm giảm bớt tác hại của vi phạm hoặc đã tự nguyện khắc phục hậu quả, bồi thường thiệt hại;</w:t>
      </w:r>
    </w:p>
    <w:p w14:paraId="4EA88E2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hành chính đã tự nguyện khai báo, thành thật hối lỗi;</w:t>
      </w:r>
    </w:p>
    <w:p w14:paraId="3361361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trong hoàn cảnh bị ép buộc hoặc bị lệ thuộc về vật chất hoặc tinh thần;</w:t>
      </w:r>
    </w:p>
    <w:p w14:paraId="3364363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do lỗi vô ý;</w:t>
      </w:r>
    </w:p>
    <w:p w14:paraId="2680C87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lần đầu;</w:t>
      </w:r>
    </w:p>
    <w:p w14:paraId="3597CAC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vì hoàn cảnh đặc biệt khó khăn mà không do mình gây ra.</w:t>
      </w:r>
    </w:p>
    <w:p w14:paraId="1B4A578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tiết tăng nặng:</w:t>
      </w:r>
    </w:p>
    <w:p w14:paraId="0E0CDB3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có tổ chức;</w:t>
      </w:r>
    </w:p>
    <w:p w14:paraId="1E41B80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nhiều lần hoặc tái phạm;</w:t>
      </w:r>
    </w:p>
    <w:p w14:paraId="5A3D941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Xúi giục, lôi kéo hoặc ép buộc người phụ thuộc vào mình về vật chất, tinh thần để vi phạm;</w:t>
      </w:r>
    </w:p>
    <w:p w14:paraId="0768503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 để vi phạm;</w:t>
      </w:r>
    </w:p>
    <w:p w14:paraId="47DA177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hoàn cảnh chiến tranh, thiên tai hoặc khó khăn đặc biệt khác của xã hội để vi phạm;</w:t>
      </w:r>
    </w:p>
    <w:p w14:paraId="14C3D12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trong thời hạn đang chấp hành quyết định xử phạt hành chính hoặc bản án hình sự;</w:t>
      </w:r>
    </w:p>
    <w:p w14:paraId="373BAE9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Sau khi vi phạm đã có hành vi trốn tránh, che dấu vi phạm hành chính.</w:t>
      </w:r>
    </w:p>
    <w:p w14:paraId="07A5C681"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DBCE8B3"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HÌNH THỨC XỬ PHẠT VÀ MỨC XỬ PHẠT</w:t>
      </w:r>
    </w:p>
    <w:p w14:paraId="533810D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color w:val="000000"/>
          <w:sz w:val="21"/>
          <w:szCs w:val="21"/>
        </w:rPr>
        <w:t> </w:t>
      </w:r>
      <w:r>
        <w:rPr>
          <w:rFonts w:ascii="Arial" w:hAnsi="Arial" w:cs="Arial"/>
          <w:color w:val="000000"/>
          <w:sz w:val="21"/>
          <w:szCs w:val="21"/>
        </w:rPr>
        <w:t>Vi phạm quy định về chứng từ kế toán</w:t>
      </w:r>
    </w:p>
    <w:p w14:paraId="28E9EA1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1.000.000 đồng đối với một trong các hành vi sau đây:</w:t>
      </w:r>
    </w:p>
    <w:p w14:paraId="30C5FE6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chứng từ kế toán không đầy đủ các nội dung chủ yếu theo quy định của pháp luật về kế toán (dưới đây gọi tắt là theo quy định);</w:t>
      </w:r>
    </w:p>
    <w:p w14:paraId="36BD4F9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Tẩy xoá, sửa chữa chứng từ kế toán.</w:t>
      </w:r>
    </w:p>
    <w:p w14:paraId="17A2569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5.000.000 đồng đối với một trong các hành vi sau đây:</w:t>
      </w:r>
    </w:p>
    <w:p w14:paraId="49E02AA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chứng từ kế toán không đủ số liên theo quy định của mỗi loại chứng từ kế toán;</w:t>
      </w:r>
    </w:p>
    <w:p w14:paraId="37D04B8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chứng từ kế toán khi chưa ghi đủ nội dung chứng từ thuộc trách nhiệm của người ký;</w:t>
      </w:r>
    </w:p>
    <w:p w14:paraId="4CEEB9E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chứng từ kế toán mà không có thẩm quyền ký hoặc không được ủy quyền ký;</w:t>
      </w:r>
    </w:p>
    <w:p w14:paraId="7D5FE6A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hoá đơn bán hàng nhưng không giao hoá đơn bán hàng cho khách hàng theo quy định.</w:t>
      </w:r>
    </w:p>
    <w:p w14:paraId="631FA26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20.000.000 đồng đối với một trong các hành vi sau đây:</w:t>
      </w:r>
    </w:p>
    <w:p w14:paraId="4FA6234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 mạo, khai man chứng từ kế toán;</w:t>
      </w:r>
    </w:p>
    <w:p w14:paraId="33A36CA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Thoả thuận hoặc ép buộc người khác giả mạo, khai man chứng từ kế toán;</w:t>
      </w:r>
    </w:p>
    <w:p w14:paraId="1F8BF5B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chứng từ kế toán có nội dung các liên không giống nhau trong trường hợp phải lập chứng từ kế toán có nhiều liên cho một nghiệp vụ kinh tế, tài chính phát sinh;</w:t>
      </w:r>
    </w:p>
    <w:p w14:paraId="575D7BE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Bán hàng hoá hoặc cung cấp dịch vụ không lập hoá đơn bán hàng theo quy định;</w:t>
      </w:r>
    </w:p>
    <w:p w14:paraId="3866A59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lập chứng từ kế toán khi nghiệp vụ kinh tế, tài chính phát sinh;</w:t>
      </w:r>
    </w:p>
    <w:p w14:paraId="54EB111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ý lập nhiều lần chứng từ kế toán cho một nghiệp vụ kinh tế, tài chính phát sinh;</w:t>
      </w:r>
    </w:p>
    <w:p w14:paraId="58FC19B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Huỷ bỏ hoặc cố ý làm hư hỏng chứng từ kế toán.</w:t>
      </w:r>
    </w:p>
    <w:p w14:paraId="5A726FD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7338A0E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chứng từ kế toán đối với hành vi vi phạm quy định tại điểm a, b khoản 3 Điều này;</w:t>
      </w:r>
    </w:p>
    <w:p w14:paraId="5E82BBE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Chứng chỉ hành nghề kế toán đối với người hành nghề vi phạm quy định tại điểm a, b, c, đ, e, g khoản 3 Điều này.</w:t>
      </w:r>
    </w:p>
    <w:p w14:paraId="586F670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biện pháp khắc phục hậu quả:</w:t>
      </w:r>
    </w:p>
    <w:p w14:paraId="44D171A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lập chứng từ kế toán cho nghiệp vụ kinh tế, tài chính đã phát sinh đối với vi phạm quy định tại điểm đ khoản 3 Điều này;</w:t>
      </w:r>
    </w:p>
    <w:p w14:paraId="32011CC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phải khôi phục lại các chứng từ kế toán theo đúng thực tế, đúng quy định đối với các vi phạm quy định tại các điểm a, b khoản 1, điểm a, b, c khoản 2 và điểm c, d, g khoản 3 Điều này;</w:t>
      </w:r>
    </w:p>
    <w:p w14:paraId="6FB90E3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phải huỷ các chứng từ kế toán đã lập trùng lặp cho một nghiệp vụ quy định tại điểm e khoản 3 Điều này.</w:t>
      </w:r>
    </w:p>
    <w:p w14:paraId="29629E8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Vi phạm quy định về sổ kế toán</w:t>
      </w:r>
    </w:p>
    <w:p w14:paraId="47699A4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2.000.000 đồng đối với một trong các hành vi sau đây:</w:t>
      </w:r>
    </w:p>
    <w:p w14:paraId="395191A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sổ kế toán không đầy đủ các nội dung theo quy định như: không ghi tên đơn vị kế toán, tên sổ, ngày, tháng, năm lập sổ; ngày, tháng, năm khoá sổ; thiếu chữ ký theo quy định; không đánh số trang, không đóng dấu giáp lai giữa các trang trên sổ kế toán;</w:t>
      </w:r>
    </w:p>
    <w:p w14:paraId="094E96E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sổ kế toán không đầy đủ nội dung chủ yếu theo quy định;</w:t>
      </w:r>
    </w:p>
    <w:p w14:paraId="26FFFBD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các quy định về ghi sổ kế toán như ghi chồng lên nhau, ghi cách dòng; không gạch chéo phần trang sổ không ghi; không thực hiện việc cộng số liệu tổng cộng khi ghi hết trang sổ, không thực hiện việc chuyển số liệu tổng cộng trang sổ trước sang đầu trang sổ kế tiếp;</w:t>
      </w:r>
    </w:p>
    <w:p w14:paraId="456CBAA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đóng thành quyển sổ riêng cho từng kỳ kế toán và thực hiện các thủ tục pháp lý sau khi in sổ ra giấy trong trường hợp thực hiện kế toán trên máy vi tính.</w:t>
      </w:r>
    </w:p>
    <w:p w14:paraId="77423D5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 với một trong các hành vi sau đây:</w:t>
      </w:r>
    </w:p>
    <w:p w14:paraId="4337F8D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sổ kế toán không theo đúng nguyên tắc chung của một trong các hình thức sổ kế toán theo quy định;</w:t>
      </w:r>
    </w:p>
    <w:p w14:paraId="5551250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sổ kế toán không tuân thủ phương pháp quy định của chuẩn mực kế toán và chế độ kế toán;</w:t>
      </w:r>
    </w:p>
    <w:p w14:paraId="2506FCE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sổ, khóa sổ kế toán không kịp thời theo quy định;</w:t>
      </w:r>
    </w:p>
    <w:p w14:paraId="1820DE9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sai sót trên sổ kế toán không theo đúng phương pháp quy định.</w:t>
      </w:r>
    </w:p>
    <w:p w14:paraId="40083B4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một trong các hành vi sau đây:</w:t>
      </w:r>
    </w:p>
    <w:p w14:paraId="16D7906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việc mở sổ kế toán vào đầu kỳ kế toán năm hoặc từ ngày thành lập đơn vị kế toán;</w:t>
      </w:r>
    </w:p>
    <w:p w14:paraId="66CC79D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có chứng từ kế toán chứng minh các thông tin, số liệu ghi trên sổ kế toán hoặc số liệu trên sổ kế toán không đúng với chứng từ kế toán;</w:t>
      </w:r>
    </w:p>
    <w:p w14:paraId="4D6A270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số liệu ghi trên sổ kế toán của năm thực hiện không kế tiếp thông tin, số liệu ghi trên sổ kế toán năm trước liền kề hoặc sổ kế toán ghi không liên tục từ khi mở sổ đến khi khoá sổ;</w:t>
      </w:r>
    </w:p>
    <w:p w14:paraId="7C69460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việc khoá sổ kế toán trong các trường hợp mà pháp luật về kế toán quy định phải khoá sổ kế toán;</w:t>
      </w:r>
    </w:p>
    <w:p w14:paraId="6DAFB99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in sổ kế toán ra giấy sau khi khoá sổ trên máy vi tính.</w:t>
      </w:r>
    </w:p>
    <w:p w14:paraId="096F508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một trong các hành vi sau đây:</w:t>
      </w:r>
    </w:p>
    <w:p w14:paraId="0E7175A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sổ kế toán ngoài hệ thống sổ kế toán chính thức của đơn vị;</w:t>
      </w:r>
    </w:p>
    <w:p w14:paraId="31BB785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sổ kế toán;</w:t>
      </w:r>
    </w:p>
    <w:p w14:paraId="0005427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hoặc ép buộc người khác giả mạo sổ kế toán;</w:t>
      </w:r>
    </w:p>
    <w:p w14:paraId="64D33E9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Cố ý để ngoài sổ kế toán tài sản của đơn vị hoặc tài sản có liên quan đến đơn vị;</w:t>
      </w:r>
    </w:p>
    <w:p w14:paraId="171540F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Huỷ bỏ trước hạn hoặc cố ý làm hư hỏng sổ kế toán.</w:t>
      </w:r>
    </w:p>
    <w:p w14:paraId="256ADD3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w:t>
      </w:r>
    </w:p>
    <w:p w14:paraId="0FB630E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sổ kế toán đối với vi phạm quy định tại điểm a, b, c khoản 4 Điều này;</w:t>
      </w:r>
    </w:p>
    <w:p w14:paraId="5B7EA2D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Chứng chỉ hành nghề kế toán đối với người hành nghề vi phạm quy định tại điểm a, b, c, d, đ khoản 4 Điều này.</w:t>
      </w:r>
    </w:p>
    <w:p w14:paraId="2439462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áp dụng biện pháp khắc phục hậu quả:</w:t>
      </w:r>
    </w:p>
    <w:p w14:paraId="444432C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bổ sung đầy đủ các nội dung của sổ kế toán đối với vi phạm quy định tại điểm a, b, c khoản 1 Điều này;</w:t>
      </w:r>
    </w:p>
    <w:p w14:paraId="075D17D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phải khôi phục lại hoặc thực hiện theo đúng quy định của pháp luật đối với các vi phạm quy định tại điểm d khoản 1, khoản 2, 3 và điểm b, c, d, đ khoản 4 Điều này.</w:t>
      </w:r>
    </w:p>
    <w:p w14:paraId="1968969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color w:val="000000"/>
          <w:sz w:val="21"/>
          <w:szCs w:val="21"/>
        </w:rPr>
        <w:t> </w:t>
      </w:r>
      <w:r>
        <w:rPr>
          <w:rFonts w:ascii="Arial" w:hAnsi="Arial" w:cs="Arial"/>
          <w:color w:val="000000"/>
          <w:sz w:val="21"/>
          <w:szCs w:val="21"/>
        </w:rPr>
        <w:t>Vi phạm quy định về tài khoản kế toán</w:t>
      </w:r>
    </w:p>
    <w:p w14:paraId="5C6689A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1.000.000 đồng đến 5.000.000 đồng đối với một trong các hành vi sau đây:</w:t>
      </w:r>
    </w:p>
    <w:p w14:paraId="64BCBC1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Hạch toán không theo đúng nội dung quy định của tài khoản kế toán;</w:t>
      </w:r>
    </w:p>
    <w:p w14:paraId="37889D1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nội dung, phương pháp hạch toán của tài khoản kế toán do Bộ Tài chính ban hành hoặc mở thêm tài khoản kế toán trong hệ thống tài khoản kế toán cấp I đã lựa chọn không được Bộ Tài chính chấp nhận.</w:t>
      </w:r>
    </w:p>
    <w:p w14:paraId="0EFE5F6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 sau đây:</w:t>
      </w:r>
    </w:p>
    <w:p w14:paraId="4F9FD90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đúng hệ thống tài khoản kế toán quy định cho ngành và lĩnh vực hoạt động của đơn vị;</w:t>
      </w:r>
    </w:p>
    <w:p w14:paraId="4255A1C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đúng hệ thống tài khoản đã được Bộ Tài chính chấp thuận.</w:t>
      </w:r>
    </w:p>
    <w:p w14:paraId="6A2B5C8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w:t>
      </w:r>
    </w:p>
    <w:p w14:paraId="1C88903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hạch toán đúng nội dung, phương pháp, hệ thống tài khoản kế toán đối với vi phạm tại điểm a khoản 1 và khoản 2 Điều này;</w:t>
      </w:r>
    </w:p>
    <w:p w14:paraId="3E114F2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việc sử dụng tài khoản kế toán đối với vi phạm tại điểm b khoản 1 Điều này.</w:t>
      </w:r>
    </w:p>
    <w:p w14:paraId="3916FF8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Fonts w:ascii="Arial" w:hAnsi="Arial" w:cs="Arial"/>
          <w:color w:val="000000"/>
          <w:sz w:val="21"/>
          <w:szCs w:val="21"/>
        </w:rPr>
        <w:t>Vi phạm quy định về báo cáo tài chính và công khai báo cáo tài chính</w:t>
      </w:r>
    </w:p>
    <w:p w14:paraId="425504B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sau đây:</w:t>
      </w:r>
    </w:p>
    <w:p w14:paraId="52A33FF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tài chính không đầy đủ nội dung theo quy định;</w:t>
      </w:r>
    </w:p>
    <w:p w14:paraId="5BDAC6B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trình bày báo cáo tài chính không đúng phương pháp; không rõ ràng; không nhất quán theo quy định;</w:t>
      </w:r>
    </w:p>
    <w:p w14:paraId="73074E3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báo cáo tài chính cho cơ quan nhà nước có thẩm quyền chậm từ 01 tháng đến 03 tháng theo thời hạn quy định;</w:t>
      </w:r>
    </w:p>
    <w:p w14:paraId="7A4FD8E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báo cáo tài chính không đầy đủ nội dung theo quy định;</w:t>
      </w:r>
    </w:p>
    <w:p w14:paraId="644243E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khai báo cáo tài chính chậm từ 01 tháng đến 03 tháng theo thời hạn quy định.</w:t>
      </w:r>
    </w:p>
    <w:p w14:paraId="5D34EC1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một trong các hành vi sau đây:</w:t>
      </w:r>
    </w:p>
    <w:p w14:paraId="5251CDA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Nộp báo cáo tài chính cho cơ quan nhà nước có thẩm quyền chậm quá 3 tháng theo thời hạn quy định;</w:t>
      </w:r>
    </w:p>
    <w:p w14:paraId="274C3CD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báo cáo tài chính không đúng với số liệu trên sổ kế toán và chứng từ kế toán;</w:t>
      </w:r>
    </w:p>
    <w:p w14:paraId="32C6D98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báo cáo tài chính, khai man số liệu trên báo cáo tài chính;</w:t>
      </w:r>
    </w:p>
    <w:p w14:paraId="1193C63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Thoả thuận hoặc ép buộc người khác giả mạo báo cáo tài chính, khai man số liệu trên báo cáo tài chính;</w:t>
      </w:r>
    </w:p>
    <w:p w14:paraId="6D28125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Cố ý, thoả thuận hoặc ép buộc người khác cung cấp, xác nhận thông tin, số liệu kế toán sai sự thật;</w:t>
      </w:r>
    </w:p>
    <w:p w14:paraId="3554255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việc công khai báo cáo tài chính chậm quá 3 tháng theo thời hạn quy định;</w:t>
      </w:r>
    </w:p>
    <w:p w14:paraId="782A3C9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tin, số liệu công khai báo cáo tài chính sai sự thật.</w:t>
      </w:r>
    </w:p>
    <w:p w14:paraId="07629A7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 buộc phải thực hiện đúng quy định của pháp luật về kế toán đối với hành vi vi phạm quy định tại khoản 1, khoản 2 Điều này.</w:t>
      </w:r>
    </w:p>
    <w:p w14:paraId="6CCB75A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Vi phạm quy định về kiểm tra kế toán</w:t>
      </w:r>
    </w:p>
    <w:p w14:paraId="546D85F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5.000.000 đồng đến 10.000.000 đồng đối với một trong các hành vi sau đây:</w:t>
      </w:r>
    </w:p>
    <w:p w14:paraId="08BA6B1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hành quyết định kiểm tra kế toán của cơ quan có thẩm quyền;</w:t>
      </w:r>
    </w:p>
    <w:p w14:paraId="72AA467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cản trở công việc kiểm tra của đoàn kiểm tra kế toán;</w:t>
      </w:r>
    </w:p>
    <w:p w14:paraId="095D19A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cung cấp hoặc cung cấp không đầy đủ cho đoàn kiểm tra các tài liệu kế toán liên quan đến nội dung kiểm tra;</w:t>
      </w:r>
    </w:p>
    <w:p w14:paraId="53AE8D0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hoặc thực hiện không đầy đủ kết luận của đoàn kiểm tra;</w:t>
      </w:r>
    </w:p>
    <w:p w14:paraId="6A64886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 năm liên tục không thực hiện kiểm tra kế toán đối với đơn vị kế toán cấp dưới.</w:t>
      </w:r>
    </w:p>
    <w:p w14:paraId="2DD1A8D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Vi phạm quy định về bảo quản, lưu trữ tài liệu kế toán</w:t>
      </w:r>
    </w:p>
    <w:p w14:paraId="5F48112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 đối với một trong các hành vi sau đây:</w:t>
      </w:r>
    </w:p>
    <w:p w14:paraId="6AC61FF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tài liệu kế toán vào lưu trữ chậm quá 12 tháng so với thời hạn quy định;</w:t>
      </w:r>
    </w:p>
    <w:p w14:paraId="4DC42B2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Lưu trữ tài liệu kế toán không đầy đủ theo quy định;</w:t>
      </w:r>
    </w:p>
    <w:p w14:paraId="79B95A4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tài liệu kế toán không an toàn, để hư hỏng, mất mát tài liệu trong thời hạn lưu trữ.</w:t>
      </w:r>
    </w:p>
    <w:p w14:paraId="56C8419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 sau đây:</w:t>
      </w:r>
    </w:p>
    <w:p w14:paraId="5B88E68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tài liệu kế toán trong thời hạn lưu trữ không đúng quy định;</w:t>
      </w:r>
    </w:p>
    <w:p w14:paraId="2E012E2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các thủ tục để phục hồi tài liệu kế toán bị mất mát hoặc bị huỷ hoại.</w:t>
      </w:r>
    </w:p>
    <w:p w14:paraId="7E55395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một trong các hành vi sau đây:</w:t>
      </w:r>
    </w:p>
    <w:p w14:paraId="26863D1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bỏ tài liệu kế toán khi chưa hết thời hạn lưu trữ theo quy định;</w:t>
      </w:r>
    </w:p>
    <w:p w14:paraId="06E162F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hủy tài liệu kế toán không thành lập Hội đồng tiêu hủy, không thực hiện đúng phương pháp tiêu hủy và không lập biên bản tiêu hủy theo quy định.</w:t>
      </w:r>
    </w:p>
    <w:p w14:paraId="0F9E2A2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color w:val="000000"/>
          <w:sz w:val="21"/>
          <w:szCs w:val="21"/>
        </w:rPr>
        <w:t> </w:t>
      </w:r>
      <w:r>
        <w:rPr>
          <w:rFonts w:ascii="Arial" w:hAnsi="Arial" w:cs="Arial"/>
          <w:color w:val="000000"/>
          <w:sz w:val="21"/>
          <w:szCs w:val="21"/>
        </w:rPr>
        <w:t>Vi phạm quy định về kiểm kê tài sản</w:t>
      </w:r>
    </w:p>
    <w:p w14:paraId="41C4934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một trong các hành vi sau đây:</w:t>
      </w:r>
    </w:p>
    <w:p w14:paraId="2D53EF7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báo cáo tổng hợp kết quả kiểm kê theo quy định;</w:t>
      </w:r>
    </w:p>
    <w:p w14:paraId="0815FFF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xác định nguyên nhân chênh lệch; không phản ảnh số chênh lệch và kết quả xử lý số chênh lệch giữa số liệu kiểm kê thực tế với số liệu sổ kế toán vào sổ kế toán.</w:t>
      </w:r>
    </w:p>
    <w:p w14:paraId="4F0A9EB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hành vi không thực hiện kiểm kê tài sản vào cuối kỳ kế toán năm hoặc không thực hiện kiểm kê tài sản trong các trường hợp khác theo quy định.</w:t>
      </w:r>
    </w:p>
    <w:p w14:paraId="6577E4D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hành vi giả mạo, khai man kết quả kiểm kê tài sản.</w:t>
      </w:r>
    </w:p>
    <w:p w14:paraId="4391F5F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Vi phạm quy định về tổ chức bộ máy kế toán, bố trí người làm kế toán hoặc thuê làm kế toán</w:t>
      </w:r>
    </w:p>
    <w:p w14:paraId="519544D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sau đây:</w:t>
      </w:r>
    </w:p>
    <w:p w14:paraId="667DE21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bộ máy kế toán; không bố trí người làm kế toán hoặc không thuê tổ chức, cá nhân kinh doanh dịch vụ kế toán làm kế toán theo quy định;</w:t>
      </w:r>
    </w:p>
    <w:p w14:paraId="06574FD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Bố trí người làm kế toán mà pháp luật quy định không được làm kế toán;</w:t>
      </w:r>
    </w:p>
    <w:p w14:paraId="5E9FC46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người làm kế toán không đủ tiêu chuẩn, điều kiện theo quy định;</w:t>
      </w:r>
    </w:p>
    <w:p w14:paraId="323D70B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Thuê tổ chức, cá nhân không đủ tiêu chuẩn, điều kiện hành nghề kế toán hoặc không đăng ký kinh doanh theo quy định, cung cấp dịch vụ kế toán cho đơn vị.</w:t>
      </w:r>
    </w:p>
    <w:p w14:paraId="7A19EE2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một trong các hành vi sau đây:</w:t>
      </w:r>
    </w:p>
    <w:p w14:paraId="4FD2278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trách nhiệm quản lý, điều hành đơn vị kế toán kiêm làm kế toán, thủ kho, thủ quỹ hoặc mua, bán tài sản trừ doanh nghiệp tư nhân, hộ kinh doanh cá thể;</w:t>
      </w:r>
    </w:p>
    <w:p w14:paraId="4C44674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người làm kế toán trưởng không đủ tiêu chuẩn, điều kiện quy định;</w:t>
      </w:r>
    </w:p>
    <w:p w14:paraId="7739D4F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Thuê người làm kế toán trưởng không đủ tiêu chuẩn, điều kiện quy định.</w:t>
      </w:r>
    </w:p>
    <w:p w14:paraId="00AC1C5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w:t>
      </w:r>
    </w:p>
    <w:p w14:paraId="65C70A6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tổ chức bộ máy kế toán; bố trí người làm kế toán hoặc thuê tổ chức, cá nhân kinh doanh dịch vụ kế toán làm kế toán đối với vi phạm quy định tại điểm a khoản 1 Điều này;</w:t>
      </w:r>
    </w:p>
    <w:p w14:paraId="1FE69CA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phải thuyên chuyển và bố trí hoặc thuê người làm kế toán hoặc người làm kế toán trưởng thay thế đối với vi phạm quy định tại điểm b, c, d khoản 1 và điểm a, b, c khoản 2 Điều này.</w:t>
      </w:r>
    </w:p>
    <w:p w14:paraId="6D14C7C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Fonts w:ascii="Arial" w:hAnsi="Arial" w:cs="Arial"/>
          <w:color w:val="000000"/>
          <w:sz w:val="21"/>
          <w:szCs w:val="21"/>
        </w:rPr>
        <w:t>Vi phạm quy định về hành nghề kế toán</w:t>
      </w:r>
    </w:p>
    <w:p w14:paraId="5140E29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sau đây:</w:t>
      </w:r>
    </w:p>
    <w:p w14:paraId="4142088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hành nghề kế toán nhưng không đăng ký kinh doanh dịch vụ kế toán;</w:t>
      </w:r>
    </w:p>
    <w:p w14:paraId="1D4E3A6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theo pháp luật của doanh nghiệp kinh doanh dịch vụ kế toán không có Chứng chỉ hành nghề kế toán;</w:t>
      </w:r>
    </w:p>
    <w:p w14:paraId="5D23319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hoặc cá nhân hành nghề kế toán không đảm bảo điều kiện hoạt động theo quy định nhưng vẫn cung cấp dịch vụ kế toán;</w:t>
      </w:r>
    </w:p>
    <w:p w14:paraId="2A328C8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hành nghề kế toán nhưng không có Chứng chỉ hành nghề kế toán;</w:t>
      </w:r>
    </w:p>
    <w:p w14:paraId="7046F27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Thuê người không có Chứng chỉ hành nghề kế toán làm kế toán hoặc không có Chứng chỉ bồi dưỡng kế toán trưởng, làm kế toán trưởng;</w:t>
      </w:r>
    </w:p>
    <w:p w14:paraId="6CD1632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Nhận làm thuê kế toán khi là bố, mẹ, vợ, chồng, con, anh, chị, em ruột của người có trách nhiệm quản lý điều hành, kể cả Kế toán trưởng của đơn vị kế toán hoặc có quan hệ kinh tế, tài chính hoặc không đủ năng lực chuyên môn hoặc nhận làm thuê kế toán khi đơn vị kế toán có yêu cầu trái với đạo đức nghề nghiệp, chuyên môn nghiệp vụ kế toán;</w:t>
      </w:r>
    </w:p>
    <w:p w14:paraId="37D59C6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Cho thuê, cho mượn Chứng chỉ hành nghề kế toán.</w:t>
      </w:r>
    </w:p>
    <w:p w14:paraId="18DE993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w:t>
      </w:r>
    </w:p>
    <w:p w14:paraId="2EA81BA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Tước quyền sử dụng Chứng chỉ hành nghề kế toán đối với vi phạm quy định tại điểm e, g khoản 1 Điều này nếu cố tình sai phạm.</w:t>
      </w:r>
    </w:p>
    <w:p w14:paraId="023AE07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w:t>
      </w:r>
    </w:p>
    <w:p w14:paraId="27C2118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đăng ký kinh doanh dịch vụ kế toán đối với vi phạm quy định tại điểm a khoản 1 Điều này;</w:t>
      </w:r>
    </w:p>
    <w:p w14:paraId="5B27D2F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phải đình chỉ hành nghề kế toán đối với vi phạm quy định tại điểm b, c, d, e, g khoản 1 Điều này;</w:t>
      </w:r>
    </w:p>
    <w:p w14:paraId="21D4696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phải chấm dứt hợp đồng thuê làm kế toán hoặc làm kế toán trưởng đối với vi phạm quy định tại điểm đ khoản 1 Điều này.</w:t>
      </w:r>
    </w:p>
    <w:p w14:paraId="6CDC65F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color w:val="000000"/>
          <w:sz w:val="21"/>
          <w:szCs w:val="21"/>
        </w:rPr>
        <w:t> </w:t>
      </w:r>
      <w:r>
        <w:rPr>
          <w:rFonts w:ascii="Arial" w:hAnsi="Arial" w:cs="Arial"/>
          <w:color w:val="000000"/>
          <w:sz w:val="21"/>
          <w:szCs w:val="21"/>
        </w:rPr>
        <w:t>Vi phạm quy định về áp dụng chuẩn mực kế toán, chế độ kế toán và các quy định khác</w:t>
      </w:r>
    </w:p>
    <w:p w14:paraId="5E3F9A0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sau đây:</w:t>
      </w:r>
    </w:p>
    <w:p w14:paraId="4903EEE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đăng ký hoặc không thông báo chế độ kế toán áp dụng tại đơn vị trong thời hạn quy định đối với trường hợp phải đăng ký hoặc phải thông báo với cơ quan nhà nước có thẩm quyền;</w:t>
      </w:r>
    </w:p>
    <w:p w14:paraId="36F10C4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sai quy định về chữ viết; chữ số; đơn vị tiền tệ hoặc kỳ kế toán.</w:t>
      </w:r>
    </w:p>
    <w:p w14:paraId="586FE88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hành vi cho đối tượng khác sử dụng tài khoản Tiền gửi ngân hàng, Tiền gửi kho bạc Nhà nước của đơn vị để nhận tiền và chuyển tiền cho các hoạt động tiền tệ vi phạm chế độ quản lý tài chính, ngân sách và sử dụng vốn.</w:t>
      </w:r>
    </w:p>
    <w:p w14:paraId="5837CDB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khắc phục hậu quả:</w:t>
      </w:r>
    </w:p>
    <w:p w14:paraId="6FDAF2E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thực hiện việc đăng ký chế độ kế toán áp dụng đối với vi phạm quy định tại điểm a khoản 1 Điều này;</w:t>
      </w:r>
    </w:p>
    <w:p w14:paraId="3DA5DF4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phải thực hiện đúng quy định đối với các vi phạm quy định tại điểm b khoản 1 và khoản 2 Điều này.</w:t>
      </w:r>
    </w:p>
    <w:p w14:paraId="1F72E8A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Fonts w:ascii="Arial" w:hAnsi="Arial" w:cs="Arial"/>
          <w:color w:val="000000"/>
          <w:sz w:val="21"/>
          <w:szCs w:val="21"/>
        </w:rPr>
        <w:t>Hành vi vi phạm trong lĩnh vực kế toán dẫn đến trốn, lậu thuế</w:t>
      </w:r>
    </w:p>
    <w:p w14:paraId="16551EC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vi phạm hành chính trong lĩnh vực kế toán quy định từ Điều 7 đến Điều 16 của Nghị định này, ngoài việc xử phạt vi phạm hành chính về kế toán như quy định tại các Điều từ 7 đến 16 nói trên nếu hành vi vi phạm dẫn đến trốn, lậu thuế thì còn bị xử phạt theo quy định tại Nghị định của Chính phủ về xử phạt vi phạm hành chính trong lĩnh vực thuế.</w:t>
      </w:r>
    </w:p>
    <w:p w14:paraId="5A8B4BC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thấy hành vi vi phạm hành chính trong lĩnh vực kế toán dẫn đến trốn, lậu thuế thì người có thẩm quyền xử phạt vi phạm hành chính phải chuyển ngay hồ sơ cho cơ quan thuế cùng cấp để xử lý vi phạm hành chính trong lĩnh vực thuế, sau khi đã xử phạt vi phạm hành chính về kế toán.</w:t>
      </w:r>
    </w:p>
    <w:p w14:paraId="2CE7F38E"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97760A2"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THỦ TỤC XỬ PHẠT</w:t>
      </w:r>
    </w:p>
    <w:p w14:paraId="53C2FCB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color w:val="000000"/>
          <w:sz w:val="21"/>
          <w:szCs w:val="21"/>
        </w:rPr>
        <w:t> </w:t>
      </w:r>
      <w:r>
        <w:rPr>
          <w:rFonts w:ascii="Arial" w:hAnsi="Arial" w:cs="Arial"/>
          <w:color w:val="000000"/>
          <w:sz w:val="21"/>
          <w:szCs w:val="21"/>
        </w:rPr>
        <w:t>Thẩm quyền xử phạt của thanh tra Tài chính</w:t>
      </w:r>
    </w:p>
    <w:p w14:paraId="7A65FED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Tài chính các cấp đang thi hành công vụ có quyền:</w:t>
      </w:r>
    </w:p>
    <w:p w14:paraId="35EDD8A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09CEC51"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200.000 đồng;</w:t>
      </w:r>
    </w:p>
    <w:p w14:paraId="1F227FA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khoản 3 Điều 5 của Nghị định này.</w:t>
      </w:r>
    </w:p>
    <w:p w14:paraId="0987BAD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Tài chính có quyền:</w:t>
      </w:r>
    </w:p>
    <w:p w14:paraId="37172CD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F204A2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64C976B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hình thức xử phạt bổ sung và biện pháp khắc phục hậu quả quy định tại khoản 2, khoản 3 Điều 5 của Nghị định này.</w:t>
      </w:r>
    </w:p>
    <w:p w14:paraId="1FDBF4F8"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Bộ Tài chính có quyền:</w:t>
      </w:r>
    </w:p>
    <w:p w14:paraId="5451813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5D6305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20.000.000 đồng;</w:t>
      </w:r>
    </w:p>
    <w:p w14:paraId="150A010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hình thức xử phạt bổ sung và biện pháp khắc phục hậu quả quy định tại khoản 2, khoản 3 Điều 5 của Nghị định này.</w:t>
      </w:r>
    </w:p>
    <w:p w14:paraId="3BD7427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color w:val="000000"/>
          <w:sz w:val="21"/>
          <w:szCs w:val="21"/>
        </w:rPr>
        <w:t> </w:t>
      </w:r>
      <w:r>
        <w:rPr>
          <w:rFonts w:ascii="Arial" w:hAnsi="Arial" w:cs="Arial"/>
          <w:color w:val="000000"/>
          <w:sz w:val="21"/>
          <w:szCs w:val="21"/>
        </w:rPr>
        <w:t>Thẩm quyền xử phạt của ủy ban nhân dân các cấp</w:t>
      </w:r>
    </w:p>
    <w:p w14:paraId="4C1CA00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xã, phường, thị trấn (gọi chung là cấp xã) có quyền:</w:t>
      </w:r>
    </w:p>
    <w:p w14:paraId="0134D2A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2818EB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1F4D7BC5"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khoản 3 Điều 5 của Nghị định này.</w:t>
      </w:r>
    </w:p>
    <w:p w14:paraId="7A91FFB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huyện, quận, thị xã, thành phố thuộc tỉnh (gọi chung là cấp huyện) có quyền:</w:t>
      </w:r>
    </w:p>
    <w:p w14:paraId="4E0C16C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0D3921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0F991BA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hình thức xử phạt bổ sung và biện pháp khắc phục hậu quả quy định tại khoản 2, khoản 3 Điều 5 của Nghị định này.</w:t>
      </w:r>
    </w:p>
    <w:p w14:paraId="7FC5D90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tỉnh, thành phố trực thuộc Trung ương (gọi chung là cấp tỉnh) có quyền:</w:t>
      </w:r>
    </w:p>
    <w:p w14:paraId="6425120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D3180DD"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6F2994D2"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hình thức xử phạt bổ sung và biện pháp khắc phục hậu quả quy định tại khoản 2, khoản 3 Điều 5 của Nghị định này.</w:t>
      </w:r>
    </w:p>
    <w:p w14:paraId="293F23E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color w:val="000000"/>
          <w:sz w:val="21"/>
          <w:szCs w:val="21"/>
        </w:rPr>
        <w:t> </w:t>
      </w:r>
      <w:r>
        <w:rPr>
          <w:rFonts w:ascii="Arial" w:hAnsi="Arial" w:cs="Arial"/>
          <w:color w:val="000000"/>
          <w:sz w:val="21"/>
          <w:szCs w:val="21"/>
        </w:rPr>
        <w:t>ủy quyền xử phạt vi phạm hành chính trong lĩnh vực kế toán</w:t>
      </w:r>
    </w:p>
    <w:p w14:paraId="7651A9F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những người có thẩm quyền xử phạt vi phạm hành chính quy định tại khoản 2, khoản 3 Điều 18, khoản 1, khoản 2, khoản 3 Điều 19 của Nghị định này vắng mặt thì cấp phó được ủy quyền có thẩm quyền xử phạt vi phạm hành chính theo thẩm quyền của người ủy quyền và phải chịu trách nhiệm về quyết định của mình.</w:t>
      </w:r>
    </w:p>
    <w:p w14:paraId="35F1458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w:t>
      </w:r>
      <w:r>
        <w:rPr>
          <w:rStyle w:val="apple-converted-space"/>
          <w:rFonts w:ascii="Arial" w:hAnsi="Arial" w:cs="Arial"/>
          <w:color w:val="000000"/>
          <w:sz w:val="21"/>
          <w:szCs w:val="21"/>
        </w:rPr>
        <w:t> </w:t>
      </w:r>
      <w:r>
        <w:rPr>
          <w:rFonts w:ascii="Arial" w:hAnsi="Arial" w:cs="Arial"/>
          <w:color w:val="000000"/>
          <w:sz w:val="21"/>
          <w:szCs w:val="21"/>
        </w:rPr>
        <w:t>Phân định thẩm quyền xử phạt vi phạm hành chính trong lĩnh vực kế toán</w:t>
      </w:r>
    </w:p>
    <w:p w14:paraId="0405819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cấp huyện và cấp tỉnh có thẩm quyền xử phạt vi phạm hành chính trong lĩnh vực kế toán thuộc địa phương.</w:t>
      </w:r>
    </w:p>
    <w:p w14:paraId="6249827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Tài chính các cấp có thẩm quyền xử phạt vi phạm hành chính trong lĩnh vực kế toán thuộc mình quản lý.</w:t>
      </w:r>
    </w:p>
    <w:p w14:paraId="391F6F7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 phạm hành chính trong lĩnh vực kế toán thuộc thẩm quyền xử phạt của nhiều người thì việc xử phạt vi phạm hành chính do người thụ lý đầu tiên thực hiện.</w:t>
      </w:r>
    </w:p>
    <w:p w14:paraId="0605013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của người được quy định tại Điều 18, Điều 19 của Nghị định này là thẩm quyền áp dụng đối với một hành vi vi phạm hành chính trong lĩnh vực kế toán.</w:t>
      </w:r>
    </w:p>
    <w:p w14:paraId="090BE5D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xử phạt một người, một tổ chức thực hiện nhiều hành vi vi phạm hành chính thì thẩm quyền xử phạt thực hiện theo quy định tại khoản 3 Điều 42 của Pháp lệnh Xử lý vi phạm hành chính.</w:t>
      </w:r>
    </w:p>
    <w:p w14:paraId="287DE4B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color w:val="000000"/>
          <w:sz w:val="21"/>
          <w:szCs w:val="21"/>
        </w:rPr>
        <w:t> </w:t>
      </w:r>
      <w:r>
        <w:rPr>
          <w:rFonts w:ascii="Arial" w:hAnsi="Arial" w:cs="Arial"/>
          <w:color w:val="000000"/>
          <w:sz w:val="21"/>
          <w:szCs w:val="21"/>
        </w:rPr>
        <w:t>Thời hiệu thi hành quyết định xử phạt vi phạm hành chính</w:t>
      </w:r>
    </w:p>
    <w:p w14:paraId="00BC186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thi hành quyết định xử phạt vi phạm hành chính trong lĩnh vực kế toán là một năm, kể từ ngày ra quyết định xử phạt; quá thời hạn này mà quyết định đó không được thi hành thì không thi hành quyết định xử phạt nữa nhưng vẫn áp dụng các biện pháp khắc phục hậu quả ghi trong quyết định. Trường hợp cá nhân, tổ chức bị xử phạt cố tình trốn tránh, trì hoãn thì thời hiệu nêu trên được tính lại kể từ thời điểm chấm dứt hành vi trốn tránh, trì hoãn.</w:t>
      </w:r>
    </w:p>
    <w:p w14:paraId="4AFFD0D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color w:val="000000"/>
          <w:sz w:val="21"/>
          <w:szCs w:val="21"/>
        </w:rPr>
        <w:t> </w:t>
      </w:r>
      <w:r>
        <w:rPr>
          <w:rFonts w:ascii="Arial" w:hAnsi="Arial" w:cs="Arial"/>
          <w:color w:val="000000"/>
          <w:sz w:val="21"/>
          <w:szCs w:val="21"/>
        </w:rPr>
        <w:t>Thủ tục xử phạt vi phạm hành chính trong lĩnh vực kế toán</w:t>
      </w:r>
    </w:p>
    <w:p w14:paraId="52FB001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hành vi vi phạm hành chính trong lĩnh vực kế toán, người có thẩm quyền xử phạt phải quyết định đình chỉ ngay hành vi vi phạm hành chính.</w:t>
      </w:r>
    </w:p>
    <w:p w14:paraId="023FB56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xử phạt vi phạm hành chính trong lĩnh vực kế toán được thực hiện theo quy định tại Chương IV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134/2003/NĐ-CP</w:t>
        </w:r>
        <w:r>
          <w:rPr>
            <w:rStyle w:val="apple-converted-space"/>
            <w:rFonts w:ascii="Arial" w:hAnsi="Arial" w:cs="Arial"/>
            <w:color w:val="135ECD"/>
            <w:sz w:val="21"/>
            <w:szCs w:val="21"/>
            <w:u w:val="single"/>
          </w:rPr>
          <w:t> </w:t>
        </w:r>
      </w:hyperlink>
      <w:r>
        <w:rPr>
          <w:rFonts w:ascii="Arial" w:hAnsi="Arial" w:cs="Arial"/>
          <w:color w:val="000000"/>
          <w:sz w:val="21"/>
          <w:szCs w:val="21"/>
        </w:rPr>
        <w:t>ngày 14 tháng 11 năm 2003 của Chính phủ quy định chi tiết một số điều của Pháp lệnh Xử lý vi phạm hành chính.</w:t>
      </w:r>
    </w:p>
    <w:p w14:paraId="611EB64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color w:val="000000"/>
          <w:sz w:val="21"/>
          <w:szCs w:val="21"/>
        </w:rPr>
        <w:t> </w:t>
      </w:r>
      <w:r>
        <w:rPr>
          <w:rFonts w:ascii="Arial" w:hAnsi="Arial" w:cs="Arial"/>
          <w:color w:val="000000"/>
          <w:sz w:val="21"/>
          <w:szCs w:val="21"/>
        </w:rPr>
        <w:t>Cưỡng chế thi hành quyết định xử phạt vi phạm hành chính</w:t>
      </w:r>
    </w:p>
    <w:p w14:paraId="7243089F"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cưỡng chế thi hành quyết định xử phạt vi phạm hành chính trong lĩnh vực kế toán được thực hiện theo quy định tại Điều 66 của Pháp lệnh Xử lý vi phạm hành chính.</w:t>
      </w:r>
    </w:p>
    <w:p w14:paraId="10AEBC4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color w:val="000000"/>
          <w:sz w:val="21"/>
          <w:szCs w:val="21"/>
        </w:rPr>
        <w:t> </w:t>
      </w:r>
      <w:r>
        <w:rPr>
          <w:rFonts w:ascii="Arial" w:hAnsi="Arial" w:cs="Arial"/>
          <w:color w:val="000000"/>
          <w:sz w:val="21"/>
          <w:szCs w:val="21"/>
        </w:rPr>
        <w:t>Chuyển hồ sơ vi phạm hành chính trong lĩnh vực kế toán để truy cứu trách nhiệm hình sự</w:t>
      </w:r>
    </w:p>
    <w:p w14:paraId="1A7943F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xét thấy hành vi vi phạm hành chính trong lĩnh vực kế toán có dấu hiệu tội phạm thì người có thẩm quyền xử phạt vi phạm hành chính phải chuyển ngay hồ sơ cho cơ quan nhà nước có thẩm quyền xử lý hình sự để giải quyết.</w:t>
      </w:r>
    </w:p>
    <w:p w14:paraId="3931043E"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87C8A21"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 KHEN THƯỞNG VÀ XỬ LÝ VI PHẠM</w:t>
      </w:r>
    </w:p>
    <w:p w14:paraId="4CCBD20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Khiếu nại, tố cáo</w:t>
      </w:r>
    </w:p>
    <w:p w14:paraId="42453FAB"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vi phạm hành chính trong lĩnh vực kế toán hoặc người đại diện hợp pháp của cá nhân, tổ chức đó có quyền khiếu nại về quyết định xử phạt vi phạm hành chính, quyết định áp dụng các biện pháp ngăn chặn và bảo đảm xử lý vi phạm hành chính.</w:t>
      </w:r>
    </w:p>
    <w:p w14:paraId="75A856E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quyền tố cáo về hành vi trái pháp luật trong xử lý vi phạm hành chính.</w:t>
      </w:r>
    </w:p>
    <w:p w14:paraId="561A458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thủ tục, thời hạn giải quyết khiếu nại, tố cáo được thực hiện theo quy định của pháp luật về khiếu nại, tố cáo.</w:t>
      </w:r>
    </w:p>
    <w:p w14:paraId="48E9A6F4"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color w:val="000000"/>
          <w:sz w:val="21"/>
          <w:szCs w:val="21"/>
        </w:rPr>
        <w:t> </w:t>
      </w:r>
      <w:r>
        <w:rPr>
          <w:rFonts w:ascii="Arial" w:hAnsi="Arial" w:cs="Arial"/>
          <w:color w:val="000000"/>
          <w:sz w:val="21"/>
          <w:szCs w:val="21"/>
        </w:rPr>
        <w:t>Khởi kiện hành chính</w:t>
      </w:r>
    </w:p>
    <w:p w14:paraId="46B6BBDA"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khởi kiện đối với quyết định xử phạt vi phạm hành chính, quyết định áp dụng các biện pháp ngăn chặn và bảo đảm việc xử lý vi phạm hành chính, được thực hiện theo quy định của pháp luật về thủ tục giải quyết các vụ án hành chính.</w:t>
      </w:r>
    </w:p>
    <w:p w14:paraId="6B517289"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Khen thưởng</w:t>
      </w:r>
    </w:p>
    <w:p w14:paraId="2EA3D187"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có thành tích trong đấu tranh và phòng chống vi phạm hành chính trong lĩnh vực kế toán được khen thưởng theo quy định của pháp luật.</w:t>
      </w:r>
    </w:p>
    <w:p w14:paraId="5DAA074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Style w:val="apple-converted-space"/>
          <w:rFonts w:ascii="Arial" w:hAnsi="Arial" w:cs="Arial"/>
          <w:color w:val="000000"/>
          <w:sz w:val="21"/>
          <w:szCs w:val="21"/>
        </w:rPr>
        <w:t> </w:t>
      </w:r>
      <w:r>
        <w:rPr>
          <w:rFonts w:ascii="Arial" w:hAnsi="Arial" w:cs="Arial"/>
          <w:color w:val="000000"/>
          <w:sz w:val="21"/>
          <w:szCs w:val="21"/>
        </w:rPr>
        <w:t>Xử lý vi phạm</w:t>
      </w:r>
    </w:p>
    <w:p w14:paraId="5EE60376"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xử lý vi phạm hành chính nếu có hành vi chống đối người thi hành công vụ, trì hoãn, trốn tránh việc chấp hành quyết định của người có thẩm quyền xử phạt thì tuỳ theo tính chất, mức độ vi phạm mà bị xử lý vi phạm hành chính hoặc bị truy cứu trách nhiệm hình sự; nếu gây thiệt hại thì phải bồi thường theo quy định của pháp luật.</w:t>
      </w:r>
    </w:p>
    <w:p w14:paraId="391FA973"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Người có thẩm quyền xử lý vi phạm hành chính mà sách nhiễu, dung túng, bao che, không xử lý hoặc xử lý không kịp thời, không đúng mức, xử lý vượt thẩm quyền quy định, có lỗi trong việc để quá thời hiệu, thời hạn xử lý vi phạm hành chính trong lĩnh vực kế toán thì tuỳ theo tính chất, mức độ vi </w:t>
      </w:r>
      <w:r>
        <w:rPr>
          <w:rFonts w:ascii="Arial" w:hAnsi="Arial" w:cs="Arial"/>
          <w:color w:val="000000"/>
          <w:sz w:val="21"/>
          <w:szCs w:val="21"/>
        </w:rPr>
        <w:lastRenderedPageBreak/>
        <w:t>phạm mà bị xử lý kỷ luật hoặc bị truy cứu trách nhiệm hình sự; nếu gây thiệt hại thì phải bồi thường theo quy định của pháp luật.</w:t>
      </w:r>
    </w:p>
    <w:p w14:paraId="0EB4639E"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95E58C6" w14:textId="77777777" w:rsidR="00255260" w:rsidRDefault="00255260" w:rsidP="002552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3807C7E"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color w:val="000000"/>
          <w:sz w:val="21"/>
          <w:szCs w:val="21"/>
        </w:rPr>
        <w:t> </w:t>
      </w:r>
      <w:r>
        <w:rPr>
          <w:rFonts w:ascii="Arial" w:hAnsi="Arial" w:cs="Arial"/>
          <w:color w:val="000000"/>
          <w:sz w:val="21"/>
          <w:szCs w:val="21"/>
        </w:rPr>
        <w:t>Điều khoản thi hành</w:t>
      </w:r>
    </w:p>
    <w:p w14:paraId="2334E27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sau 15 ngày, kể từ ngày đăng Công báo và thay thế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49/1999/NĐ-CP</w:t>
        </w:r>
        <w:r>
          <w:rPr>
            <w:rStyle w:val="apple-converted-space"/>
            <w:rFonts w:ascii="Arial" w:hAnsi="Arial" w:cs="Arial"/>
            <w:color w:val="135ECD"/>
            <w:sz w:val="21"/>
            <w:szCs w:val="21"/>
            <w:u w:val="single"/>
          </w:rPr>
          <w:t> </w:t>
        </w:r>
      </w:hyperlink>
      <w:r>
        <w:rPr>
          <w:rFonts w:ascii="Arial" w:hAnsi="Arial" w:cs="Arial"/>
          <w:color w:val="000000"/>
          <w:sz w:val="21"/>
          <w:szCs w:val="21"/>
        </w:rPr>
        <w:t>ngày 08 tháng 7 năm 1999 của Chính phủ về xử phạt vi phạm hành chính trong lĩnh vực kế toán.</w:t>
      </w:r>
    </w:p>
    <w:p w14:paraId="3EDFB57C"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tổ chức thi hành Nghị định này.</w:t>
      </w:r>
    </w:p>
    <w:p w14:paraId="274224E0" w14:textId="77777777" w:rsidR="00255260" w:rsidRDefault="00255260" w:rsidP="002552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chịu trách nhiệm hướng dẫn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255260" w14:paraId="5D14EF2D" w14:textId="77777777" w:rsidTr="002552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D5C26" w14:textId="77777777" w:rsidR="00255260" w:rsidRDefault="002552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p>
        </w:tc>
      </w:tr>
      <w:tr w:rsidR="00255260" w14:paraId="362610C8" w14:textId="77777777" w:rsidTr="002552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753B" w14:textId="77777777" w:rsidR="00255260" w:rsidRDefault="00255260">
            <w:pPr>
              <w:pStyle w:val="NormalWeb"/>
              <w:spacing w:after="90" w:afterAutospacing="0" w:line="345" w:lineRule="atLeast"/>
              <w:jc w:val="center"/>
              <w:rPr>
                <w:rFonts w:ascii="Arial" w:hAnsi="Arial" w:cs="Arial"/>
                <w:sz w:val="21"/>
                <w:szCs w:val="21"/>
              </w:rPr>
            </w:pPr>
            <w:r>
              <w:rPr>
                <w:rFonts w:ascii="Arial" w:hAnsi="Arial" w:cs="Arial"/>
                <w:sz w:val="21"/>
                <w:szCs w:val="21"/>
              </w:rPr>
              <w:t>Thủ tướng</w:t>
            </w:r>
          </w:p>
        </w:tc>
      </w:tr>
      <w:tr w:rsidR="00255260" w14:paraId="6036CEB5" w14:textId="77777777" w:rsidTr="002552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E92E8" w14:textId="77777777" w:rsidR="00255260" w:rsidRDefault="002552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255260" w14:paraId="1CAB35A6" w14:textId="77777777" w:rsidTr="002552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4DC7B" w14:textId="77777777" w:rsidR="00255260" w:rsidRDefault="002552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Phan Văn Khải</w:t>
            </w:r>
          </w:p>
        </w:tc>
      </w:tr>
    </w:tbl>
    <w:p w14:paraId="2094F579" w14:textId="77777777" w:rsidR="000C691F" w:rsidRPr="00255260" w:rsidRDefault="000C691F" w:rsidP="00255260"/>
    <w:sectPr w:rsidR="000C691F" w:rsidRPr="00255260">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3FEF1" w14:textId="77777777" w:rsidR="008C4892" w:rsidRDefault="008C4892" w:rsidP="002341B2">
      <w:r>
        <w:separator/>
      </w:r>
    </w:p>
  </w:endnote>
  <w:endnote w:type="continuationSeparator" w:id="0">
    <w:p w14:paraId="38EFA402" w14:textId="77777777" w:rsidR="008C4892" w:rsidRDefault="008C4892"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BCB84" w14:textId="77777777" w:rsidR="008C4892" w:rsidRDefault="008C4892" w:rsidP="002341B2">
      <w:r>
        <w:separator/>
      </w:r>
    </w:p>
  </w:footnote>
  <w:footnote w:type="continuationSeparator" w:id="0">
    <w:p w14:paraId="19E0EFE6" w14:textId="77777777" w:rsidR="008C4892" w:rsidRDefault="008C4892"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2D05"/>
    <w:rsid w:val="00D073B2"/>
    <w:rsid w:val="00D15E19"/>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ke-toan-nam-2003.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an-ban/luat-to-chuc-chinh-phu-nam-200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so-49-1999-nd-cp.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van-ban/nghi-dinh-134-2003-nd-cp.aspx" TargetMode="External"/><Relationship Id="rId4" Type="http://schemas.openxmlformats.org/officeDocument/2006/relationships/webSettings" Target="webSettings.xml"/><Relationship Id="rId9" Type="http://schemas.openxmlformats.org/officeDocument/2006/relationships/hyperlink" Target="file:////van-ban/phap-lenh-xu-ly-vi-pham-hanh-chinh-nam-200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17</Pages>
  <Words>4081</Words>
  <Characters>23266</Characters>
  <Application>Microsoft Office Word</Application>
  <DocSecurity>0</DocSecurity>
  <Lines>193</Lines>
  <Paragraphs>54</Paragraphs>
  <ScaleCrop>false</ScaleCrop>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300</cp:revision>
  <dcterms:created xsi:type="dcterms:W3CDTF">2024-11-15T17:25:00Z</dcterms:created>
  <dcterms:modified xsi:type="dcterms:W3CDTF">2025-01-26T12:41:00Z</dcterms:modified>
</cp:coreProperties>
</file>