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16"/>
        <w:gridCol w:w="5744"/>
      </w:tblGrid>
      <w:tr w:rsidR="004101F3" w14:paraId="25D1BFFD" w14:textId="77777777" w:rsidTr="004101F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1125E" w14:textId="77777777" w:rsidR="004101F3" w:rsidRDefault="00410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NAM ĐỊNH</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A4BFC" w14:textId="77777777" w:rsidR="004101F3" w:rsidRDefault="00410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101F3" w14:paraId="72849D0E" w14:textId="77777777" w:rsidTr="004101F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F24A6" w14:textId="77777777" w:rsidR="004101F3" w:rsidRDefault="004101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05/2017/QĐ-UBND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E000D" w14:textId="77777777" w:rsidR="004101F3" w:rsidRDefault="004101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Nam Định, ngày 27 tháng 02 năm 2017</w:t>
            </w:r>
          </w:p>
        </w:tc>
      </w:tr>
    </w:tbl>
    <w:p w14:paraId="648A13FA" w14:textId="77777777" w:rsidR="004101F3" w:rsidRDefault="004101F3" w:rsidP="00410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2D3B42" w14:textId="77777777" w:rsidR="004101F3" w:rsidRDefault="004101F3" w:rsidP="004101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MỨC GIÁ TỐI ĐA DỊCH VỤ THU GOM, VẬN CHUYỂN, XỬ LÝ RÁC THẢI SINH HOẠT TRÊN ĐỊA BÀN CÁC HUYỆN THUỘC TỈNH NAM ĐỊNH</w:t>
      </w:r>
    </w:p>
    <w:p w14:paraId="024719DD" w14:textId="77777777" w:rsidR="004101F3" w:rsidRDefault="004101F3" w:rsidP="00410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NAM ĐỊNH</w:t>
      </w:r>
    </w:p>
    <w:p w14:paraId="7CB7E050"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Tổ chức chính</w:t>
        </w:r>
      </w:hyperlink>
      <w:r>
        <w:rPr>
          <w:rStyle w:val="Emphasis"/>
          <w:rFonts w:ascii="Arial" w:hAnsi="Arial" w:cs="Arial"/>
          <w:color w:val="000000"/>
          <w:sz w:val="21"/>
          <w:szCs w:val="21"/>
        </w:rPr>
        <w:t> quyền địa phương ngày 19 tháng 6 năm 2015;</w:t>
      </w:r>
    </w:p>
    <w:p w14:paraId="352563A3"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8"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Phí</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và lệ phí ngày 25 tháng 11 năm 2015;</w:t>
      </w:r>
    </w:p>
    <w:p w14:paraId="766C3775"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Luật Giá</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20 tháng 6 năm 2012;</w:t>
      </w:r>
    </w:p>
    <w:p w14:paraId="30987C24"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120/2016/NĐ-CP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23/8/2016 của Chính phủ quy định chi tiết và hướng dẫn thi hành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điều của Luật Phí và lệ phí;</w:t>
      </w:r>
    </w:p>
    <w:p w14:paraId="64DF35A3"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177/2013/NĐ-CP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14/11/2013 của Chính phủ quy định chi tiết và hướng dẫn thi</w:t>
      </w:r>
      <w:r>
        <w:rPr>
          <w:rStyle w:val="apple-converted-space"/>
          <w:rFonts w:ascii="Arial" w:hAnsi="Arial" w:cs="Arial"/>
          <w:i/>
          <w:iCs/>
          <w:color w:val="000000"/>
          <w:sz w:val="21"/>
          <w:szCs w:val="21"/>
        </w:rPr>
        <w:t> </w:t>
      </w:r>
      <w:r>
        <w:rPr>
          <w:rStyle w:val="Emphasis"/>
          <w:rFonts w:ascii="Arial" w:hAnsi="Arial" w:cs="Arial"/>
          <w:color w:val="000000"/>
          <w:sz w:val="21"/>
          <w:szCs w:val="21"/>
        </w:rPr>
        <w:t>hành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điều của Luật Giá;</w:t>
      </w:r>
    </w:p>
    <w:p w14:paraId="62198FC5"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149/2016/NĐ-CP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11/11/2016 của Chính phủ quy định sửa đổi, bổ sung một số điều của Nghị định số 177/2013/NĐ-CP ngày 14/11/2013 của Chính phủ quy định chi tiết và hướng dẫn thi hành một số điều của Luật Giá;</w:t>
      </w:r>
    </w:p>
    <w:p w14:paraId="09AD6571"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25/2014/TT-BTC</w:t>
        </w:r>
      </w:hyperlink>
      <w:r>
        <w:rPr>
          <w:rStyle w:val="Emphasis"/>
          <w:rFonts w:ascii="Arial" w:hAnsi="Arial" w:cs="Arial"/>
          <w:color w:val="000000"/>
          <w:sz w:val="21"/>
          <w:szCs w:val="21"/>
        </w:rPr>
        <w:t> ngày 17/02/2014 của Bộ Tài chính quy định phương pháp định giá</w:t>
      </w:r>
      <w:r>
        <w:rPr>
          <w:rStyle w:val="apple-converted-space"/>
          <w:rFonts w:ascii="Arial" w:hAnsi="Arial" w:cs="Arial"/>
          <w:i/>
          <w:iCs/>
          <w:color w:val="000000"/>
          <w:sz w:val="21"/>
          <w:szCs w:val="21"/>
        </w:rPr>
        <w:t> </w:t>
      </w:r>
      <w:r>
        <w:rPr>
          <w:rStyle w:val="Emphasis"/>
          <w:rFonts w:ascii="Arial" w:hAnsi="Arial" w:cs="Arial"/>
          <w:color w:val="000000"/>
          <w:sz w:val="21"/>
          <w:szCs w:val="21"/>
        </w:rPr>
        <w:t>chung đối với hàng hóa, dịch vụ;</w:t>
      </w:r>
    </w:p>
    <w:p w14:paraId="5C19509A"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Sở Tài nguyên và Môi trường tại Tờ trình số 286/TTr-STNMT ngày 20/02/2017 về việc ban hành quy định mức giá tối đa dịch vụ thu gom, vận chuyển, xử lý rác thải sinh hoạt trên địa bàn các huyện, Văn bản số</w:t>
      </w:r>
      <w:r>
        <w:rPr>
          <w:rStyle w:val="apple-converted-space"/>
          <w:rFonts w:ascii="Arial" w:hAnsi="Arial" w:cs="Arial"/>
          <w:i/>
          <w:iCs/>
          <w:color w:val="000000"/>
          <w:sz w:val="21"/>
          <w:szCs w:val="21"/>
        </w:rPr>
        <w:t> </w:t>
      </w:r>
      <w:r>
        <w:rPr>
          <w:rStyle w:val="Emphasis"/>
          <w:rFonts w:ascii="Arial" w:hAnsi="Arial" w:cs="Arial"/>
          <w:color w:val="000000"/>
          <w:sz w:val="21"/>
          <w:szCs w:val="21"/>
        </w:rPr>
        <w:t>172/CV-STC ngày 09/02/2017 của Sở Tài chính, Văn bản thẩm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21/BC-STP ngày15/02/2017 của Sở Tư pháp.</w:t>
      </w:r>
    </w:p>
    <w:p w14:paraId="523618C2" w14:textId="77777777" w:rsidR="004101F3" w:rsidRDefault="004101F3" w:rsidP="00410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060AB23"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Style w:val="apple-converted-space"/>
          <w:rFonts w:ascii="Arial" w:hAnsi="Arial" w:cs="Arial"/>
          <w:color w:val="000000"/>
          <w:sz w:val="21"/>
          <w:szCs w:val="21"/>
        </w:rPr>
        <w:t> </w:t>
      </w:r>
      <w:r>
        <w:rPr>
          <w:rFonts w:ascii="Arial" w:hAnsi="Arial" w:cs="Arial"/>
          <w:color w:val="000000"/>
          <w:sz w:val="21"/>
          <w:szCs w:val="21"/>
        </w:rPr>
        <w:t>Quy định mức giá tối đa dịch vụ thu gom, vận chuyển, xử lý rác thải sinh hoạt trên địa bàn các huyện thuộc tỉnh Nam Định như sau:</w:t>
      </w:r>
    </w:p>
    <w:p w14:paraId="17921D55"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hộ gia đình, cá nhân</w:t>
      </w:r>
    </w:p>
    <w:p w14:paraId="5B7C0186"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gia đình: 8.000 đồng/người/tháng;</w:t>
      </w:r>
    </w:p>
    <w:p w14:paraId="3F534A00"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nghèo: 4.000 đồng/người/tháng;</w:t>
      </w:r>
    </w:p>
    <w:p w14:paraId="794AC99F"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cư trú tại các phòng thuê trọ: 8. 000/người /tháng;</w:t>
      </w:r>
    </w:p>
    <w:p w14:paraId="4525E0FB"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hộ kinh doanh nhỏ:</w:t>
      </w:r>
    </w:p>
    <w:p w14:paraId="5934DFB7"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 bán hoa, rửa ô tô, xe máy, xe đạp: 120.000 đồng/hộ/tháng;</w:t>
      </w:r>
    </w:p>
    <w:p w14:paraId="5C7743D9"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 ăn uống bán một buổi; hộ kinh doanh giải khát, cà phê, karaoke, đại lý bánh kẹo: 100.000 đồng/hộ/tháng;</w:t>
      </w:r>
    </w:p>
    <w:p w14:paraId="6672C9E6"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kinh doanh hàng tạp hóa, đồ lưu niệm, đồ điện, vật liệu xây dựng, quần áo, internet, hiệu thuốc, giày dép, điện thoại, văn phòng phẩm, chế tác vàng bạc, nhôm kính, hàng thủ công...: 80.000 đồng/hộ/tháng.</w:t>
      </w:r>
    </w:p>
    <w:p w14:paraId="5CB8763D"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tổ chức cơ quan:</w:t>
      </w:r>
    </w:p>
    <w:p w14:paraId="2B9CDB67"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định được khối lượng: 260.000 đồng/m</w:t>
      </w:r>
      <w:r>
        <w:rPr>
          <w:rFonts w:ascii="Arial" w:hAnsi="Arial" w:cs="Arial"/>
          <w:color w:val="000000"/>
          <w:sz w:val="21"/>
          <w:szCs w:val="21"/>
          <w:vertAlign w:val="superscript"/>
        </w:rPr>
        <w:t>3</w:t>
      </w:r>
      <w:r>
        <w:rPr>
          <w:rStyle w:val="apple-converted-space"/>
          <w:rFonts w:ascii="Arial" w:hAnsi="Arial" w:cs="Arial"/>
          <w:color w:val="000000"/>
          <w:sz w:val="21"/>
          <w:szCs w:val="21"/>
        </w:rPr>
        <w:t> </w:t>
      </w:r>
      <w:r>
        <w:rPr>
          <w:rFonts w:ascii="Arial" w:hAnsi="Arial" w:cs="Arial"/>
          <w:color w:val="000000"/>
          <w:sz w:val="21"/>
          <w:szCs w:val="21"/>
        </w:rPr>
        <w:t>rác (tỷ trọng 1m</w:t>
      </w:r>
      <w:r>
        <w:rPr>
          <w:rFonts w:ascii="Arial" w:hAnsi="Arial" w:cs="Arial"/>
          <w:color w:val="000000"/>
          <w:sz w:val="21"/>
          <w:szCs w:val="21"/>
          <w:vertAlign w:val="superscript"/>
        </w:rPr>
        <w:t>3</w:t>
      </w:r>
      <w:r>
        <w:rPr>
          <w:rStyle w:val="apple-converted-space"/>
          <w:rFonts w:ascii="Arial" w:hAnsi="Arial" w:cs="Arial"/>
          <w:color w:val="000000"/>
          <w:sz w:val="21"/>
          <w:szCs w:val="21"/>
        </w:rPr>
        <w:t> </w:t>
      </w:r>
      <w:r>
        <w:rPr>
          <w:rFonts w:ascii="Arial" w:hAnsi="Arial" w:cs="Arial"/>
          <w:color w:val="000000"/>
          <w:sz w:val="21"/>
          <w:szCs w:val="21"/>
        </w:rPr>
        <w:t>= 0,42 tấn).</w:t>
      </w:r>
    </w:p>
    <w:p w14:paraId="3B99BEB5"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xác định được khối lượng:</w:t>
      </w:r>
    </w:p>
    <w:p w14:paraId="1435F9C0"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học, nhà trẻ; cơ quan hành chính, sự nghiệp: 110.000 đồng/đơn vị/tháng;</w:t>
      </w:r>
    </w:p>
    <w:p w14:paraId="75BB05FA"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doanh nghiệp: 160.000 đồng/đơn vị/tháng;</w:t>
      </w:r>
    </w:p>
    <w:p w14:paraId="22E12FBF"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 trung tâm thương mại; khách sạn; nhà hàng ăn uống; nhà máy; bệnh viện; phòng khám tư nhân; cơ sở sản xuất; chợ; nhà ga, bến tàu, bến xe; công viên; trung tâm dạy nghề, đào tạo việc làm: 350.000 đồng/đơn vị/tháng.</w:t>
      </w:r>
    </w:p>
    <w:p w14:paraId="33F189D4"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Mức giá tối đa dịch vụ thu gom, vận chuyển, xử lý rác thải sinh hoạt nêu trên đã bao gồm thuế VAT. Căn cứ tình hình điều kiện thực tế các đơn vị cung cấp dịch vụ thu gom, vận chuyển, xử lý rác thải sinh hoạt trên địa bàn các huyện áp dụng mức giá cụ thể cho phù hợp nhưng không vượt quá mức giá tối đa nêu tại Điều 1.</w:t>
      </w:r>
    </w:p>
    <w:p w14:paraId="544162E1"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vị cung cấp dịch vụ thu gom, vận chuyển, xử lý rác thải sinh hoạt niêm yết công khai nội dung thu, mức thu, thực hiện thu theo quy định. Đơn vị thu có trách nhiệm đăng ký, kê khai và thực hiện các nghĩa vụ về thuế với Nhà nước theo quy định hiện hành.</w:t>
      </w:r>
    </w:p>
    <w:p w14:paraId="6B7B3BE9"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sau 10 ngày kể từ ngày ký và thay thế các Quyết định số: 25/2016/QĐ-UBND 26/2016/QĐ-UBND 27/2016/QĐ-UBND 28/2016/QĐ-UBND 29/2016/QĐ-UBND 30/2016/QĐ-UBND 31/2016/QĐ-UBND 32/2016/QĐ-UBND 33/2016/QĐ-UBND ngày 01/9/2016 về việc quy định mức thu phí vệ sinh (rác thải sinh hoạt) tại các xã, thị trấn trên địa bàn các huyện: Hải Hậu, Nam Trực, Mỹ Lộc, Xuân Trường, Trực Ninh, Nghĩa Hưng, Ý Yên, Vụ Bản, Giao Thủy.</w:t>
      </w:r>
    </w:p>
    <w:p w14:paraId="71B6423E" w14:textId="77777777" w:rsidR="004101F3" w:rsidRDefault="004101F3" w:rsidP="004101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UBND tỉnh, Giám đốc: Sở Tài chính, Sở Tài nguyên và Môi trường, Sở Xây dựng; Cục trưởng Cục Thuế; Chủ tịch UBND các huyện và các tổ chức, cá nhân có liên quan chịu trách nhiệm thi hành Quyết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83"/>
        <w:gridCol w:w="4077"/>
      </w:tblGrid>
      <w:tr w:rsidR="004101F3" w14:paraId="2FE5B4EA" w14:textId="77777777" w:rsidTr="004101F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8343D" w14:textId="77777777" w:rsidR="004101F3" w:rsidRDefault="004101F3" w:rsidP="004101F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Bộ Tài chính, Bộ Tư pháp;</w:t>
            </w:r>
            <w:r>
              <w:rPr>
                <w:rFonts w:ascii="Arial" w:hAnsi="Arial" w:cs="Arial"/>
                <w:color w:val="000000"/>
                <w:sz w:val="21"/>
                <w:szCs w:val="21"/>
              </w:rPr>
              <w:br/>
              <w:t>- Thường trực Tỉnh ủy;</w:t>
            </w:r>
            <w:r>
              <w:rPr>
                <w:rFonts w:ascii="Arial" w:hAnsi="Arial" w:cs="Arial"/>
                <w:color w:val="000000"/>
                <w:sz w:val="21"/>
                <w:szCs w:val="21"/>
              </w:rPr>
              <w:br/>
              <w:t>- Thường trực HĐND tỉnh;</w:t>
            </w:r>
            <w:r>
              <w:rPr>
                <w:rFonts w:ascii="Arial" w:hAnsi="Arial" w:cs="Arial"/>
                <w:color w:val="000000"/>
                <w:sz w:val="21"/>
                <w:szCs w:val="21"/>
              </w:rPr>
              <w:br/>
              <w:t>- Đoàn đại biểu Quốc hội tỉnh;</w:t>
            </w:r>
            <w:r>
              <w:rPr>
                <w:rFonts w:ascii="Arial" w:hAnsi="Arial" w:cs="Arial"/>
                <w:color w:val="000000"/>
                <w:sz w:val="21"/>
                <w:szCs w:val="21"/>
              </w:rPr>
              <w:br/>
              <w:t>- Lãnh đạo UBND tỉnh;</w:t>
            </w:r>
            <w:r>
              <w:rPr>
                <w:rFonts w:ascii="Arial" w:hAnsi="Arial" w:cs="Arial"/>
                <w:color w:val="000000"/>
                <w:sz w:val="21"/>
                <w:szCs w:val="21"/>
              </w:rPr>
              <w:br/>
              <w:t>- Như điều 3;</w:t>
            </w:r>
            <w:r>
              <w:rPr>
                <w:rFonts w:ascii="Arial" w:hAnsi="Arial" w:cs="Arial"/>
                <w:color w:val="000000"/>
                <w:sz w:val="21"/>
                <w:szCs w:val="21"/>
              </w:rPr>
              <w:br/>
              <w:t>- Sở Tư pháp;</w:t>
            </w:r>
            <w:r>
              <w:rPr>
                <w:rFonts w:ascii="Arial" w:hAnsi="Arial" w:cs="Arial"/>
                <w:color w:val="000000"/>
                <w:sz w:val="21"/>
                <w:szCs w:val="21"/>
              </w:rPr>
              <w:br/>
              <w:t>- Công báo tỉnh, Website tỉnh;</w:t>
            </w:r>
            <w:r>
              <w:rPr>
                <w:rFonts w:ascii="Arial" w:hAnsi="Arial" w:cs="Arial"/>
                <w:color w:val="000000"/>
                <w:sz w:val="21"/>
                <w:szCs w:val="21"/>
              </w:rPr>
              <w:br/>
              <w:t>- Lưu: VP1, VP3, VP5, VP6.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01C5" w14:textId="77777777" w:rsidR="004101F3" w:rsidRDefault="00410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Đình Nghị</w:t>
            </w:r>
          </w:p>
        </w:tc>
      </w:tr>
    </w:tbl>
    <w:p w14:paraId="2094F579" w14:textId="77777777" w:rsidR="000C691F" w:rsidRPr="004101F3" w:rsidRDefault="000C691F" w:rsidP="004101F3"/>
    <w:sectPr w:rsidR="000C691F" w:rsidRPr="004101F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AF07D" w14:textId="77777777" w:rsidR="00CC785B" w:rsidRDefault="00CC785B" w:rsidP="002341B2">
      <w:r>
        <w:separator/>
      </w:r>
    </w:p>
  </w:endnote>
  <w:endnote w:type="continuationSeparator" w:id="0">
    <w:p w14:paraId="2740FF19" w14:textId="77777777" w:rsidR="00CC785B" w:rsidRDefault="00CC785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533EB" w14:textId="77777777" w:rsidR="00CC785B" w:rsidRDefault="00CC785B" w:rsidP="002341B2">
      <w:r>
        <w:separator/>
      </w:r>
    </w:p>
  </w:footnote>
  <w:footnote w:type="continuationSeparator" w:id="0">
    <w:p w14:paraId="46AD4265" w14:textId="77777777" w:rsidR="00CC785B" w:rsidRDefault="00CC785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3277"/>
    <w:rsid w:val="00BE426A"/>
    <w:rsid w:val="00BE46B8"/>
    <w:rsid w:val="00BE52A9"/>
    <w:rsid w:val="00BF1EA4"/>
    <w:rsid w:val="00C057F7"/>
    <w:rsid w:val="00C108C9"/>
    <w:rsid w:val="00C110F6"/>
    <w:rsid w:val="00C2324A"/>
    <w:rsid w:val="00C23E36"/>
    <w:rsid w:val="00C257D8"/>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phi-va-le-phi-nam-2015.aspx" TargetMode="External"/><Relationship Id="rId13" Type="http://schemas.openxmlformats.org/officeDocument/2006/relationships/hyperlink" Target="file:////van-ban/thong-tu-25-2014-tt-btc.aspx" TargetMode="External"/><Relationship Id="rId3" Type="http://schemas.openxmlformats.org/officeDocument/2006/relationships/settings" Target="settings.xml"/><Relationship Id="rId7" Type="http://schemas.openxmlformats.org/officeDocument/2006/relationships/hyperlink" Target="file:////van-ban/luat-to-chuc-chinh-quyen-dia-phuong-nam-2015.aspx" TargetMode="External"/><Relationship Id="rId12" Type="http://schemas.openxmlformats.org/officeDocument/2006/relationships/hyperlink" Target="file:////van-ban/nghi-dinh-149-2016-nd-cp.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so-177-2013-nd-cp.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van-ban/nghi-dinh-120-2016-nd-cp.aspx" TargetMode="External"/><Relationship Id="rId4" Type="http://schemas.openxmlformats.org/officeDocument/2006/relationships/webSettings" Target="webSettings.xml"/><Relationship Id="rId9" Type="http://schemas.openxmlformats.org/officeDocument/2006/relationships/hyperlink" Target="file:////van-ban/luat-gia-nam-2012.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308</cp:revision>
  <dcterms:created xsi:type="dcterms:W3CDTF">2024-11-15T17:25:00Z</dcterms:created>
  <dcterms:modified xsi:type="dcterms:W3CDTF">2025-01-26T13:01:00Z</dcterms:modified>
</cp:coreProperties>
</file>