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5850"/>
      </w:tblGrid>
      <w:tr w:rsidR="00A16AF3" w:rsidRPr="00A16AF3" w14:paraId="18FDFEED" w14:textId="77777777" w:rsidTr="00A16AF3">
        <w:trPr>
          <w:tblCellSpacing w:w="0" w:type="dxa"/>
        </w:trPr>
        <w:tc>
          <w:tcPr>
            <w:tcW w:w="3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2A6F" w14:textId="77777777"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ỦY BAN NHÂN DÂN</w:t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TỈNH TÂY NINH</w:t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E5A7" w14:textId="77777777"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---------</w:t>
            </w:r>
          </w:p>
        </w:tc>
      </w:tr>
      <w:tr w:rsidR="00A16AF3" w:rsidRPr="00A16AF3" w14:paraId="250970DB" w14:textId="77777777" w:rsidTr="00A16AF3">
        <w:trPr>
          <w:tblCellSpacing w:w="0" w:type="dxa"/>
        </w:trPr>
        <w:tc>
          <w:tcPr>
            <w:tcW w:w="3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99F8" w14:textId="77777777"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6AF3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16AF3">
              <w:rPr>
                <w:rFonts w:ascii="Times New Roman" w:hAnsi="Times New Roman" w:cs="Times New Roman"/>
                <w:sz w:val="26"/>
                <w:szCs w:val="26"/>
              </w:rPr>
              <w:t>: 12/CT-UBND</w:t>
            </w:r>
          </w:p>
        </w:tc>
        <w:tc>
          <w:tcPr>
            <w:tcW w:w="5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B10F" w14:textId="0978F12D" w:rsidR="00A16AF3" w:rsidRPr="00A16AF3" w:rsidRDefault="00A16AF3" w:rsidP="00A16AF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16A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Tây Ninh, </w:t>
            </w:r>
            <w:proofErr w:type="spellStart"/>
            <w:r w:rsidRPr="00A16A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A16A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16 </w:t>
            </w:r>
            <w:proofErr w:type="spellStart"/>
            <w:r w:rsidRPr="00A16A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A16A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8 </w:t>
            </w:r>
            <w:proofErr w:type="spellStart"/>
            <w:r w:rsidRPr="00A16A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A16AF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2010</w:t>
            </w:r>
          </w:p>
        </w:tc>
      </w:tr>
    </w:tbl>
    <w:p w14:paraId="763B4451" w14:textId="77777777" w:rsidR="00A16AF3" w:rsidRPr="00A16AF3" w:rsidRDefault="00A16AF3" w:rsidP="00A16AF3">
      <w:pPr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> </w:t>
      </w:r>
    </w:p>
    <w:p w14:paraId="5AB8D18F" w14:textId="77777777" w:rsidR="00A16AF3" w:rsidRPr="00A16AF3" w:rsidRDefault="00A16AF3" w:rsidP="00A16AF3">
      <w:pPr>
        <w:jc w:val="center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b/>
          <w:bCs/>
          <w:sz w:val="26"/>
          <w:szCs w:val="26"/>
        </w:rPr>
        <w:t>CHỈ THỊ</w:t>
      </w:r>
    </w:p>
    <w:p w14:paraId="7F4C37C8" w14:textId="77777777" w:rsidR="00A16AF3" w:rsidRPr="00A16AF3" w:rsidRDefault="00A16AF3" w:rsidP="00A16AF3">
      <w:pPr>
        <w:jc w:val="center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>VỀ VIỆC TRIỂN KHAI THỰC HIỆN NGHỊ ĐỊNH SỐ 51/2010/NĐ-CP, NGÀY 14 THÁNG 5 NĂM 2010 CỦA CHÍNH PHỦ QUY ĐỊNH VỀ HÓA ĐƠN BÁN HÀNG HÓA, CUNG ỨNG DỊCH VỤ</w:t>
      </w:r>
    </w:p>
    <w:p w14:paraId="2A04F5E2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14/5/2010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51/2010/NĐ-CP Quy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01/01/2011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89/2002/NĐ-CP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1B59AD41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51/2010/NĐ-CP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bớt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Quốc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Doanh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Giao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5A585B65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ban,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51/2010/NĐ-CP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:</w:t>
      </w:r>
    </w:p>
    <w:p w14:paraId="0AB72828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1-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ban,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51/2010/NĐ-CP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2F8C40AD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2-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Thông tin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dung: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01/01/2011,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329A04E4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3-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ép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59BA62B6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4-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01/01/2011.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buôn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5E69CFAF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lastRenderedPageBreak/>
        <w:t xml:space="preserve">5-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Công </w:t>
      </w:r>
      <w:proofErr w:type="gramStart"/>
      <w:r w:rsidRPr="00A16AF3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lậu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1C51582C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6-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:</w:t>
      </w:r>
    </w:p>
    <w:p w14:paraId="77B06387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- Thành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mưu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ban,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6AF3">
        <w:rPr>
          <w:rFonts w:ascii="Times New Roman" w:hAnsi="Times New Roman" w:cs="Times New Roman"/>
          <w:sz w:val="26"/>
          <w:szCs w:val="26"/>
        </w:rPr>
        <w:t>51;</w:t>
      </w:r>
      <w:proofErr w:type="gramEnd"/>
    </w:p>
    <w:p w14:paraId="44E72030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01/01/2011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71CAABE0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huấn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51/2010/NĐ-CP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Thông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0730936F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Thông tin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51/2010/NĐ-CP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6D94C1E5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7EDF4D59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. Thường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rà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vướng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57A7438B" w14:textId="77777777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16AF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ban,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</w:t>
      </w:r>
    </w:p>
    <w:p w14:paraId="4621D5CE" w14:textId="65EF87A1" w:rsidR="00A16AF3" w:rsidRPr="00A16AF3" w:rsidRDefault="00A16AF3" w:rsidP="00A16AF3">
      <w:pPr>
        <w:jc w:val="both"/>
        <w:rPr>
          <w:rFonts w:ascii="Times New Roman" w:hAnsi="Times New Roman" w:cs="Times New Roman"/>
          <w:sz w:val="26"/>
          <w:szCs w:val="26"/>
        </w:rPr>
      </w:pPr>
      <w:r w:rsidRPr="00A16AF3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đôn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Ủy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6AF3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A16AF3">
        <w:rPr>
          <w:rFonts w:ascii="Times New Roman" w:hAnsi="Times New Roman" w:cs="Times New Roman"/>
          <w:sz w:val="26"/>
          <w:szCs w:val="26"/>
        </w:rPr>
        <w:t>./.</w:t>
      </w:r>
    </w:p>
    <w:tbl>
      <w:tblPr>
        <w:tblW w:w="90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5429"/>
      </w:tblGrid>
      <w:tr w:rsidR="00A16AF3" w:rsidRPr="00A16AF3" w14:paraId="007E392E" w14:textId="77777777" w:rsidTr="00A16AF3">
        <w:trPr>
          <w:tblCellSpacing w:w="0" w:type="dxa"/>
        </w:trPr>
        <w:tc>
          <w:tcPr>
            <w:tcW w:w="3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1ABA" w14:textId="77777777" w:rsidR="00A16AF3" w:rsidRPr="00A16AF3" w:rsidRDefault="00A16AF3" w:rsidP="00A16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6AF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11B5" w14:textId="77777777" w:rsidR="00A16AF3" w:rsidRPr="00A16AF3" w:rsidRDefault="00A16AF3" w:rsidP="00A16A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TM. ỦY BAN NHÂN DÂN TỈNH</w:t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KT. CHỦ TỊCH</w:t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PHÓ CHỦ TỊCH</w:t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A16A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Võ Hùng Việt</w:t>
            </w:r>
          </w:p>
        </w:tc>
      </w:tr>
    </w:tbl>
    <w:p w14:paraId="7A2193BD" w14:textId="77777777" w:rsidR="000513DE" w:rsidRPr="00A16AF3" w:rsidRDefault="000513DE">
      <w:pPr>
        <w:rPr>
          <w:rFonts w:ascii="Times New Roman" w:hAnsi="Times New Roman" w:cs="Times New Roman"/>
          <w:sz w:val="26"/>
          <w:szCs w:val="26"/>
        </w:rPr>
      </w:pPr>
    </w:p>
    <w:sectPr w:rsidR="000513DE" w:rsidRPr="00A16AF3" w:rsidSect="00A16AF3">
      <w:footerReference w:type="default" r:id="rId6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1E23" w14:textId="77777777" w:rsidR="00633F2C" w:rsidRDefault="00633F2C" w:rsidP="00A16AF3">
      <w:pPr>
        <w:spacing w:after="0" w:line="240" w:lineRule="auto"/>
      </w:pPr>
      <w:r>
        <w:separator/>
      </w:r>
    </w:p>
  </w:endnote>
  <w:endnote w:type="continuationSeparator" w:id="0">
    <w:p w14:paraId="4123F698" w14:textId="77777777" w:rsidR="00633F2C" w:rsidRDefault="00633F2C" w:rsidP="00A1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637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17696" w14:textId="6294B257" w:rsidR="00A16AF3" w:rsidRDefault="00A16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8FD151" w14:textId="77777777" w:rsidR="00A16AF3" w:rsidRDefault="00A16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C666" w14:textId="77777777" w:rsidR="00633F2C" w:rsidRDefault="00633F2C" w:rsidP="00A16AF3">
      <w:pPr>
        <w:spacing w:after="0" w:line="240" w:lineRule="auto"/>
      </w:pPr>
      <w:r>
        <w:separator/>
      </w:r>
    </w:p>
  </w:footnote>
  <w:footnote w:type="continuationSeparator" w:id="0">
    <w:p w14:paraId="67B51933" w14:textId="77777777" w:rsidR="00633F2C" w:rsidRDefault="00633F2C" w:rsidP="00A16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F3"/>
    <w:rsid w:val="000513DE"/>
    <w:rsid w:val="0007504C"/>
    <w:rsid w:val="00633F2C"/>
    <w:rsid w:val="00A11068"/>
    <w:rsid w:val="00A16AF3"/>
    <w:rsid w:val="00C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F26D"/>
  <w15:chartTrackingRefBased/>
  <w15:docId w15:val="{1438D80B-D327-484C-B4EE-2DA2D3E1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A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F3"/>
  </w:style>
  <w:style w:type="paragraph" w:styleId="Footer">
    <w:name w:val="footer"/>
    <w:basedOn w:val="Normal"/>
    <w:link w:val="FooterChar"/>
    <w:uiPriority w:val="99"/>
    <w:unhideWhenUsed/>
    <w:rsid w:val="00A1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tuani</dc:creator>
  <cp:keywords/>
  <dc:description/>
  <cp:lastModifiedBy>tuani</cp:lastModifiedBy>
  <cp:revision>2</cp:revision>
  <dcterms:created xsi:type="dcterms:W3CDTF">2025-02-04T06:27:00Z</dcterms:created>
  <dcterms:modified xsi:type="dcterms:W3CDTF">2025-02-04T06:30:00Z</dcterms:modified>
</cp:coreProperties>
</file>