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93/2012/NĐ-CP về kinh doanh và điều kiện kinh doanh vận tải bằng xe ô tô</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Đây là nội dung mới quy định tại Nghị định số 93/2012/NĐ-CP ngày 08/11/2012 của Chính phủ sửa đổi, bổ sung một số điều Nghị định số 91/2009/NĐ-CP ngày 21/10/2009 của Chính phủ về kinh doanh và điều kiện kinh doanh vận tải bằng xe ôtô.</w:t>
      </w:r>
      <w:r>
        <w:rPr/>
        <w:br/>
      </w:r>
      <w:r>
        <w:rPr/>
        <w:br/>
      </w:r>
      <w:r>
        <w:t xml:space="preserve">Theo đó, từ ngày 25/12/2012, ngoài các phương tiện kinh doanh vận tải hành khách phải gắn phù hiệu theo quy định hiện hành như: Phương tiện kinh doanh vận tải hành khách theo tuyến cố định, vận tải hành khách theo hợp đồng, vận tải hành khách bằng xe taxi; Nghị định cũng bổ sung thêm trường hợp phải gắn phù hiệu đối với vận tải hàng hóa bằng công-ten-nơ.</w:t>
      </w:r>
      <w:r>
        <w:rPr/>
        <w:br/>
      </w:r>
      <w:r>
        <w:rPr/>
        <w:br/>
      </w:r>
      <w:r>
        <w:t xml:space="preserve">Nghị định cũng quy định đơn vị kinh doanh sẽ bị tước quyền sử dụng Giấy phép khi vi phạm điều kiện kinh doanh gây ảnh hưởng nghiêm trọng đến chất lượng dịch vụ và an toàn vận tải.</w:t>
      </w:r>
      <w:r>
        <w:t xml:space="preserve">Cụ thể như: Đơn vị kinh doanh vận tải có 5% số lượng lượt xe hoạt động trên tuyến người lái xe vi phạm hành trình; có 20% số lượng lượt xe hoạt động trên tuyến người lái xe vi phạm đón, trả khách không đúng nơi quy định hoặc 10% số lượng lượt xe hoạt động trên tuyến người lái xe vi phạm quy định về thời gian điều khiển phương tiện.</w:t>
      </w:r>
      <w:r>
        <w:rPr/>
        <w:br/>
      </w:r>
      <w:r>
        <w:rPr/>
        <w:br/>
      </w:r>
      <w:r>
        <w:t xml:space="preserve">Cũng theo Nghị định này, các xe ôtô buýt hoạt động trước ngày 25/12/2012 nhưng không có sức chứa từ 17 chỗ ngồi trở lên, có diện tích sàn xe dành cho khách đứng và thiết kế theo quy chuẩn do Bộ Giao thông Vận tải quy định được phép hoạt động đến khi hết niên hạn sử dụng theo quy định của pháp luật.</w:t>
      </w:r>
      <w:r>
        <w:rPr/>
        <w:br/>
      </w:r>
      <w:r>
        <w:rPr/>
        <w:br/>
      </w:r>
      <w:r>
        <w:t xml:space="preserve">Nghị định này có hiệu lực thi hành kể từ ngày 25/12/2012.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doanh nghiệp, gọi:</w:t>
        </w:r>
      </w:hyperlink>
      <w:hyperlink r:id="rId7" w:history="1">
        <w:r>
          <w:rPr>
            <w:rStyle w:val="Hyperlink"/>
            <w:b/>
            <w:color w:val="FF0000"/>
          </w:rPr>
          <w:t xml:space="preserve">1900.6162</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93/2012/NĐ-CP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NGHỊ ĐỊNH SỐ </w:t>
      </w:r>
      <w:hyperlink r:id="rId8" w:history="1">
        <w:r>
          <w:rPr>
            <w:rStyle w:val="Hyperlink"/>
            <w:b/>
          </w:rPr>
          <w:t xml:space="preserve">91/2009/NĐ-CP </w:t>
        </w:r>
      </w:hyperlink>
      <w:r>
        <w:rPr>
          <w:b/>
        </w:rPr>
        <w:t xml:space="preserve"> NGÀY 21 THÁNG 10 NĂM 2009 CỦA CHÍNH PHỦ VỀ KINH DOANH VÀ ĐIỀU KIỆN KINH DOANH VẬN TẢI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hợp tác xã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du lịch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Nghị định số 91/2009/NĐ-CP ngày 21 tháng 10 năm 2009 của Chính phủ về kinh doanh và điều kiện kinh doanh vận tải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Nghị định số 91/2009/NĐ-CP ngày 21 tháng 10 năm 2009 của Chính phủ về kinh doanh và điều kiện kinh doanh vận tải bằng xe ô tô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Điểm c Khoản 3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thuận mở tuyến, khai thác trên tuyến, bổ sung hoặc ngừng hoạt động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Điểm d Khoản 4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quản lý tuyến quyết định: Tăng doanh nghiệp, hợp tác xã hoạt động trên tuyến khi hệ số có khách (xuất phát tại hai đầu bến) bình quân trên tuyến đạt trên 50%; tăng tần suất chạy xe trên tuyến của doanh nghiệp, hợp tác xã đang hoạt động khi hệ số có khách (xuất phát tại hai đầu bến) bình quân trên tuyến của doanh nghiệp, hợp tác xã đạt trên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Điểm b Khoản 4 Điều 11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kinh doanh bố trí đủ số lượng lái xe và nhân viên phục vụ trên xe phù hợp phương án kinh doanh và các quy định của pháp luật; đối với xe ô tô kinh doanh vận tải hành khách từ 30 (ba mươi) chỗ ngồi trở lên phải có nhân viên phục vụ trên xe (trừ xe hợp đồng chuyên đưa đón công nhân đi làm tại các khu công nghiệp, đưa đón học sinh và sinh viên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Điểm b Khoản 2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từ thiết bị giám sát hành trình của xe được sử dụng làm tài liệu trong quản lý hoạt động của đơn vị vận tải; đơn vị kinh doanh vận tải, lái xe có trách nhiệm cung cấp cho cơ quan quản lý tuyến vận tải các thông tin được quy định tại Điểm a Khoản 2 Điều này đối với tất cả các chuyến xe hoạt động trong thời gian được cấp phù hiệu, biển hiệu và cung cấp cho lực lượng tuần tra kiểm soát giao thông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Khoản 4 Điều 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xe có gắn đồng hồ tính tiền theo kilômét lăn bánh và thời gian chờ đợi, được cơ quan có thẩm quyền về đo lường kiểm định và kẹp chì; doanh nghiệp, hợp tác xã phải đăng ký trang trí màu sơn đặc trưng thống nhất trên nền màu sơn đăng ký của phương tiện (không trùng với trang trí màu sơn đã đăng ký của doanh nghiệp, hợp tác xã trước đó), biểu trưng (logo) và số điện thoại giao dịch trên phương tiện của doanh nghiệp, hợp tác xã. Đối với các thành phố trực thuộc Trung ương có quy định màu sơn cho xe taxi thì doanh nghiệp, hợp tác xã phải thực hiện màu sơn theo quy định của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Khoản 2 Điều 16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hợp đồng có niên hạn sử dụng theo quy định tại Khoản 2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Khoản 4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tiện kinh doanh vận tải hành khách theo tuyến cố định, vận tải hành khách theo hợp đồng, vận tải hành khách bằng xe taxi, vận tải hàng hóa bằng công-ten-nơ phải được gắn phù hiệu. Phương tiện kinh doanh vận chuyển khách du lịch phải được gắn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cấp Giấy phép (hoặc giấy đề nghị thay đổi nội dung Giấy phép) theo mẫu do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văn bằng, chứng chỉ của người trực tiếp điều hành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án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doanh nghiệp, hợp tác xã kinh doanh vận tải hành khách theo tuyến cố định, xe buýt, xe taxi ngoài các quy định tại các Điểm a, b, c, Khoản 1 Điều 19 còn phải có thêm: Văn bản quy định chức năng, nhiệm vụ của bộ phận theo dõi an toàn giao thông; bản đăng ký chất lượng dịch vụ vận tải (đơn vị đã thực hiện hệ thống quản lý chất lượng theo tiêu chuẩn ISO gửi bản sao chụp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doanh nghiệp, hợp tác xã kinh doanh vận tải hàng hóa bằng công-ten-nơ còn phải có thêm văn bản quy định chức năng, nhiệm vụ của bộ phận theo dõi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cấp Giấy phép (hoặc giấy đề nghị thay đổi nội dung Giấy phép) theo mẫu do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Khoản 1 Điều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Giấy phép (01 bộ) được gửi đến cơ quan cấp Giấy phép theo đường bưu điện hoặc người đại diện của đơn vị kinh doanh nộp trực tiếp, cơ quan cấp Giấy phép tiếp nhận hồ sơ và gửi giấy biên nhận cho người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nhận theo đường bưu điện còn thiếu hoặc không đúng quy định, cơ quan cấp Giấy phép thông báo rõ nội dung còn thiếu cần bổ sung, sửa đổi trong thời hạn 03 (ba) ngày làm việc, kể từ ngày nhận hồ sơ; trường hợp hồ sơ nhận trực tiếp, cán bộ nhận hồ sơ phải kiểm tra và thông báo ngay cho người nộp những nội dung cần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bổ sung Điều 21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Thu hồi,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kinh doanh bị thu hồi Giấy phép khi vi phạm một trong số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bị phát hiện có sự cố ý làm sai lệch thông tin trong hồ sơ xin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kinh doanh vận tải trong thời hạn 06 (sáu) tháng, kể từ ngày được cấp Giấy phép hoặc ngừng kinh doanh vận tải trong thời gian 06 (sáu)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không đúng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 sản,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kinh doanh bị tước quyền sử dụng Giấy phép khi vi phạm điều kiện kinh doanh gây ảnh hưởng nghiêm trọng đến chất lượng dịch vụ và an toàn vận tải. Cụ thể vi phạm một trong các nội dung sau (tính trong thời gian còn hiệu lực của phù hiệu, biển hiệu được cấp): Đơn vị kinh doanh vận tải có 5% số lượng lượt xe hoạt động trên tuyến người lái xe vi phạm hành trình hoặc có 20% số lượng lượt xe hoạt động trên tuyến người lái xe vi phạm quy định về tốc độ hoặc 20% số lượng lượt xe hoạt động trên tuyến người lái xe vi phạm đón, trả khách không đúng nơi quy định hoặc 10% số lượng lượt xe hoạt động trên tuyến người lái xe vi phạm quy định về thời gian điều khiển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cấp Giấy phép được thu hồi, tước quyền sử dụng Giấy phép do cơ quan mình cấp và thực hiện theo trình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quyết định thu hồi hoặc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quyết định thu hồi hoặc tước quyền sử dụng Giấy phép kinh doanh vận tải đến các cơ quan quản lý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cơ quan quản lý tuyến ban hành quyết định thu hồi hoặc tước quyền sử dụng Giấy phép, Giấy phép đã được cấp của đơn vị kinh doanh vận tải sẽ không còn hiệu lực, đơn vị kinh doanh phải nộp lại Giấy phép cho cơ quan đã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Bổ sung Khoản 3 Điều 27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phát triển vận tải khách bằng xe taxi; quy định số lượng xe taxi bảo đảm phù hợp với điều kiện giao thông. Các thành phố trực thuộc Trung ương được phép quy định màu sơn xe taxi của doanh nghiệp, hợp tác xã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Khoản 2 Điều 29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xe ô tô buýt hoạt động trước ngày Nghị định này có hiệu lực nhưng chưa phù hợp với quy định tại Khoản 2 Điều 14 Nghị định số 91/2009/NĐ-CP ngày 21 tháng 10 năm 2009 của Chính phủ về kinh doanh và điều kiện kinh doanh vận tải bằng xe ô tô, được phép hoạt động đến khi hết niên hạn sử dụng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25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có trách nhiệm phối hợp với các Bộ, ngành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93-2012-nd-cp-ve-kinh-doanh-va-dieu-kien-kinh-doanh-van-tai-bang-xe-o-to.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so-91-2009-nd-cp-cua-chinh-phu---ve-kinh-doanh-va-dieu-kien-kinh-doanh-van-tai-bang-xe-o-to.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2022-06-22T13:58:16Z</dcterms:created>
  <dcterms:modified xsi:type="dcterms:W3CDTF">2022-06-22T13:58:16Z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2022-06-22T13:58:16Z</dcterms:created>
  <dcterms:modified xsi:type="dcterms:W3CDTF">2022-06-22T13:58:16Z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2022-06-22T13:58:16Z</dcterms:created>
  <dcterms:modified xsi:type="dcterms:W3CDTF">2022-06-22T13:58:16Z</dcterms:modified>
</cp:coreProperties>
</file>