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r>
        <w:pict>
          <v:shape id="_x0000_i1794" o:spid="_x0000_i1795" type="#_x0000_t75" style="height:189.75pt;width:252.75pt" o:bordertopcolor="this" o:borderleftcolor="this" o:borderbottomcolor="this" o:borderrightcolor="this">
            <v:imagedata r:id="rId5" o:title=""/>
            <w10:bordertop type="none" width="0"/>
            <w10:borderleft type="none" width="0"/>
            <w10:borderbottom type="none" width="0"/>
            <w10:borderright type="none" width="0"/>
          </v:shape>
        </w:pic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luật thuế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r>
          <w:rPr>
            <w:rStyle w:val="Hyperlink"/>
            <w:b/>
          </w:rPr>
          <w:t xml:space="preserve">1900.6162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CHÍNH PHỦ SỐ </w:t>
      </w:r>
      <w:hyperlink r:id="rId8" w:history="1">
        <w:r>
          <w:rPr>
            <w:rStyle w:val="Hyperlink"/>
            <w:b/>
          </w:rPr>
          <w:t xml:space="preserve">106/2003/NĐ-CP </w:t>
        </w:r>
      </w:hyperlink>
      <w:r>
        <w:rPr>
          <w:b/>
        </w:rPr>
        <w:t xml:space="preserve"> NGÀY 23 THÁNG 9 NĂM 2003</w:t>
      </w:r>
      <w:r>
        <w:rPr>
          <w:b/>
        </w:rPr>
        <w:br/>
      </w:r>
      <w:r>
        <w:rPr>
          <w:b/>
        </w:rPr>
        <w:t xml:space="preserve">QUY ĐỊNH VỀ VIỆC XỬ PHẠT VI PHẠM HÀNH CHÍNH</w:t>
      </w:r>
      <w:r>
        <w:rPr>
          <w:b/>
        </w:rPr>
        <w:br/>
      </w:r>
      <w:r>
        <w:rPr>
          <w:b/>
        </w:rPr>
        <w:t xml:space="preserve">TRONG LĨNH VỰC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Luật Tổ chức Chính phủ ngày 25 tháng 12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Pháp lệnh Phí và lệ phí ngày 28 tháng 8 năm 2001;</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Bộ trưởng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NGHỊ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r>
        <w:rPr>
          <w:b/>
        </w:rPr>
        <w:br/>
      </w: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w:t>
      </w:r>
      <w:r>
        <w:t xml:space="preserve">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quy định về việc xử phạt vi phạm hành chính trong lĩnh vực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 phạm hành chính trong lĩnh vực phí, lệ phí quy định tại Nghị định này bao gồm: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Vi phạm quy định về thẩm quyền quy định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 phạm quy định về đăng ký, kê khai, thu,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Vi phạm quy định về mức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Vi phạm quy định về quy trình, thủ tục lập, báo cáo phương án thu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Vi phạm quy định về quản lý, sử dụng tiền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Vi phạm quy định về chứng từ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Vi phạm quy định về miễn, giảm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Vi phạm quy định về kế toán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i) Vi phạm quy định về công khai chế độ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w:t>
      </w:r>
      <w:r>
        <w:t xml:space="preserve"> Đối tượng áp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Cá nhân, cơ quan, tổ chức trong nước và nước ngoài (sau đây gọi chung là cá nhân, tổ chức) có hành vi cố ý hoặc vô ý vi phạm các quy định của pháp luật về phí, lệ phí mà không phải là tội phạm đều bị xử phạt vi phạm hành chính theo quy định tại Nghị định này, trừ trường hợp Điều ước quốc tế mà Việt Nam ký kết hoặc gia nhập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Cán bộ, công chức đang thi hành nhiệm vụ, công vụ trong lĩnh vực phí, lệ phí được giao mà có vi phạm hành chính thì không thuộc đối tượng áp dụng Nghị định này mà sẽ bị xử lý kỷ luật theo quy định của pháp luật về cán bộ, công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w:t>
      </w:r>
      <w:r>
        <w:t xml:space="preserve"> Nguyên tắc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Nguyên tắc xử phạt vi phạm hành chính trong lĩnh vực phí, lệ phí thực hiện theo quy định tại Điều 3 của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w:t>
      </w:r>
      <w:r>
        <w:t xml:space="preserve"> Tình tiết giảm nhẹ, tình tiết tăng nặng đối với hành vi vi phạm hành chính trong lĩnh vực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Những tình tiết giảm nhẹ, tăng nặng đối với hành vi vi phạm hành chính trong lĩnh vực phí, lệ phí thực hiện theo quy định tại Điều 8 và Điều 9 của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w:t>
      </w:r>
      <w:r>
        <w:t xml:space="preserve"> Thời hiệu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Thời hiệu xử phạt vi phạm hành chính trong lĩnh vực phí, lệ phí là hai năm kể từ ngày vi phạm hành chính được thực hiện.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cá nhân đã bị khởi tố, truy tố hoặc quyết định đưa ra xét xử theo thủ tục tố tụng hình sự, nhưng sau đó có quyết định đình chỉ điều tra hoặc đình chỉ vụ án mà hành vi vi phạm có dấu hiệu vi phạm hành chính trong lĩnh vực phí, lệ phí thì bị xử phạt theo quy định tại Nghị định này; trong trường hợp này, thời hiệu xử phạt vi phạm hành chính là ba tháng, kể từ ngày người có thẩm quyền xử phạt nhận được quyết định đình chỉ và hồ sơ vụ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Trong thời hạn được quy định tại khoản 1 và khoản 2 Điều này mà cá nhân, tổ chức lại thực hiện vi phạm hành chính mới trong lĩnh vực phí, lệ phí hoặc cố tình trốn tránh, cản trở việc xử phạt thì không áp dụng thời hiệu quy định tại khoản 1 và khoản 2 Điều này; thời hiệu xử phạt vi phạm hành chính được tính lại kể từ thời điểm thực hiện vi phạm hành chính mới hoặc thời điểm chấm dứt hành vi trốn tránh, cản trở việc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w:t>
      </w:r>
      <w:r>
        <w:t xml:space="preserve"> Thời hiệu thi hành quyết định xử phạt vi phạm hành chính trong lĩnh vực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Quyết định xử phạt vi phạm hành chính trong lĩnh vực phí, lệ phí hết hiệu lực thi hành sau một năm kể từ ngày ra quyết định xử phạt; trong trường hợp cá nhân, tổ chức bị xử phạt cố tình trốn tránh, trì hoãn thi hành quyết định xử phạt thì thời hiệu nói trên được tính lại kể từ thời điểm chấm dứt hành vi trốn tránh, trì hoãn.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w:t>
      </w:r>
      <w:r>
        <w:t xml:space="preserve"> Thời hạn được coi là chưa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bị xử phạt vi phạm hành chính, nếu qua một năm, kể từ ngày chấp hành xong quyết định xử phạt hoặc từ ngày hết thời hiệu thi hành quyết định xử phạt mà không tái phạm thì coi như chưa bị xử phạt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w:t>
      </w:r>
      <w:r>
        <w:t xml:space="preserve"> Các hình thức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mỗi hành vi vi phạm hành chính trong lĩnh vực phí, lệ phí, cá nhân, tổ chức vi phạm phải chịu một trong những hình thức xử phạt chính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Tuỳ theo tính chất, mức độ vi phạm, cá nhân, tổ chức vi phạm hành chính trong lĩnh vực phí, lệ phí còn có thể bị áp dụng một hoặc các hình thức xử phạt bổ sung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Tước quyền sử dụng giấy phép hành nghề, hoạt động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Tịch thu tang vật, phương tiện đã được sử dụng để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được quy định tại khoản 1 và khoản 2 Điều này, cá nhân, tổ chức vi phạm hành chính còn có thể bị buộc áp dụng một hoặc những biện pháp khắc phục hậu quả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Buộc phải bồi hoàn số tiền thất thoát do vi phạm hành chính trong lĩnh vực phí, lệ phí gây ra;</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Phải chịu mọi chi phí để thực hiện việc hoàn trả tiền chênh lệch do thực hiện sai pháp luật về phí, lệ phí cho đối tượng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Truy thu các khoản phí, lệ phí trốn nộp;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Tịch thu toàn bộ số tiền chênh lệch phí, lệ phí có được do vi phạm hành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Các hình thức xử phạt bổ sung và các biện pháp khắc phục hậu quả quy định tại khoản 2 và 3 trên đây chỉ được áp dụng kèm theo hình thức xử phạt quy định tại khoản 1 Điều này. Trong trường hợp vi phạm hành chính đã hết thời hiệu xử phạt hoặc hết thời hạn ra quyết định xử phạt thì không xử phạt, nhưng vẫn bị áp dụng các biện pháp khắc phục hậu quả quy định tại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r>
        <w:rPr>
          <w:b/>
        </w:rPr>
        <w:br/>
      </w:r>
      <w:r>
        <w:rPr>
          <w:b/>
        </w:rPr>
        <w:t xml:space="preserve">HÀNH VI VI PHẠM HÀNH CHÍNH TRONG LĨNH VỰC PHÍ,</w:t>
      </w:r>
      <w:r>
        <w:rPr>
          <w:b/>
        </w:rPr>
        <w:br/>
      </w:r>
      <w:r>
        <w:rPr>
          <w:b/>
        </w:rPr>
        <w:t xml:space="preserve">LỆ PHÍ, HÌNH THỨC XỬ PHẠT VÀ MỨC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w:t>
      </w:r>
      <w:r>
        <w:t xml:space="preserve"> Vi phạm quy định về thẩm quyền quy định về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20.000.000 đồng đến 50.000.000 đồng đối với hành vi không có thẩm quyền mà tự đặt ra quy định về: danh mục phí, lệ phí; mức thu phí, lệ phí; quản lý, sử dụng tiền phí, lệ phí; miễn, giảm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việc bị phạt tiền, cá nhân, tổ chức có hành vi vi phạm quy định tại khoản 1 Điều này còn có thể bị xử phạt bổ sung theo quy định tại khoản 2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chính, xử phạt bổ sung, cá nhân, tổ chức vi phạm hành chính đã thu, sử dụng tiền phí, lệ phí; đã thực hiện miễn, giảm phí, lệ phí còn bị áp dụng một hoặc những biện pháp khắc phục hậu quả quy định tại các điểm a, b và d khoản 3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w:t>
      </w:r>
      <w:r>
        <w:t xml:space="preserve"> Vi phạm quy định về đăng ký, kê khai, thu,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vi phạm quy định về đăng ký, kê khai việc thu,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Đăng ký, kê khai chậm thời hạn quy định của pháp luật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cảnh cáo đối với hành vi vi phạm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100.000 đồng đến 300.000 đồng đối với hành vi vi phạm từ lần thứ hai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 đồng đến 1.000.000 đồng đối với hành vi khai không đúng, khai không đủ các khoản mục quy định trong các tờ khai thu, nộp phí, lệ phí hay trong tài liệu kế toán để cung cấp cho cơ quan quản lý nhà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 đồng đến 2.000.000 đồng đối với hành vi không đăng ký, kê khai việc thu, nộp phí, lệ phí với cơ quan quản lý nhà nước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hành vi vi phạm quy định về thu, nộp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hành vi chậm nộp phí, lệ phí theo thông báo của cơ quan có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cảnh cáo đối với hành vi vi phạm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100.000 đồng đến 500.000 đồng đối với hành vi vi phạm từ lần thứ hai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Đối với hành vi không nộp phí, lệ phí theo đúng quy định của pháp luật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500.000 đồng đến 1.000.000 đồng đối với hành vi không nộp phí, lệ phí có giá trị dưới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trên 1.000.000 đồng đến dưới 3.000.000 đồng đối với hành vi không nộp phí, lệ phí có giá trị từ 10.000.000 đồng đến dưới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3.000.000 đồng đến dưới 5.000.000 đồng đối với hành vi không nộp phí, lệ phí có giá trị từ 30.000.000 đồng đến dưới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5.000.000 đồng đến dưới 10.000.000 đồng đối với hành vi không nộp phí, lệ phí có giá trị từ 50.000.000 đồng đến dưới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10.000.000 đồng đến dưới 30.000.000 đồng đối với hành vi không nộp phí, lệ phí có giá trị từ 100.000.000 đồng đến dưới 300.000.000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30.000.000 đồng đến 50.000.000 đồng đối với hành vi không nộp phí, lệ phí có giá trị từ 300.000.000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phạt tiền, cá nhân, tổ chức có hành vi vi phạm quy định tại điểm c khoản 1 và điểm b khoản 2 Điều này còn có thể bị xử phạt bổ sung theo quy định tại khoản 2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các hình thức xử phạt chính, xử phạt bổ sung, cá nhân, tổ chức vi phạm hành chính quy định tại điểm b và điểm c khoản 1, điểm b khoản 2 Điều này còn bị áp dụng biện pháp khắc phục hậu quả quy định tại điểm c khoản 3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w:t>
      </w:r>
      <w:r>
        <w:t xml:space="preserve"> Vi phạm quy định về mức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tiền từ 2.000.000 đồng đến 10.000.000 đồng đối với hành vi thu phí, lệ phí sai với mức phí, lệ phí niêm yết hoặc do cơ quan nhà nước có thẩm quyền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việc bị phạt tiền, cá nhân, tổ chức có hành vi vi phạm quy định tại khoản 1 Điều này mà có tình tiết tăng nặng còn có thể bị xử phạt bổ sung theo quy định tại điểm a khoản 2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các hình thức xử phạt chính, xử phạt bổ sung, cá nhân, tổ chức vi phạm hành chính còn bị áp dụng một hoặc những biện pháp khắc phục hậu quả quy định tại các điểm a, b và d khoản 3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w:t>
      </w:r>
      <w:r>
        <w:t xml:space="preserve"> Vi phạm quy định về quy trình, thủ tục lập, báo cáo phương án thu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đối với hành vi vi phạm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hành vi vi phạm từ lần thứ hai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w:t>
      </w:r>
      <w:r>
        <w:t xml:space="preserve"> Vi phạm quy định về quản lý, sử dụng tiền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sử dụng sai mục đích tiền phí, lệ phí thuộc ngân sách nhà nước bị phạt tiền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500.000 đồng đến 1.000.000 đồng đối với hành vi sử dụng tiền phí, lệ phí sai mục đích có giá trị dưới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trên 1.000.000 đồng đến dưới 3.000.000 đồng đối với hành vi sử dụng tiền phí, lệ phí sai mục đích có giá trị từ 10.000.000 đồng đến dưới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3.000.000 đồng đến dưới 5.000.000 đồng đối với hành vi sử dụng tiền phí, lệ phí sai mục đích có giá trị từ 30.000.000 đồng đến dưới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5.000.000 đồng đến dưới 10.000.000 đồng đối với hành vi sử dụng tiền phí, lệ phí sai mục đích có giá trị từ 50.000.000 đồng đến dưới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10.000.000 đồng đến dưới 30.000.000 đồng đối với hành vi sử dụng tiền phí, lệ phí sai mục đích có giá trị từ 100.000.000 đồng đến dưới 300.000.000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30.000.000 đồng đến 50.000.000 đồng đối với hành vi sử dụng tiền phí, lệ phí sai mục đích có giá trị từ 300.000.000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Ngoài việc bị phạt tiền, cá nhân, tổ chức vi phạm hành chính quy định tại khoản 1 Điều này còn bị áp dụng biện pháp khắc phục hậu quả quy định tại điểm a khoản 3 Điều 8 của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w:t>
      </w:r>
      <w:r>
        <w:t xml:space="preserve"> Vi phạm quy định về chứng từ thu phí, lệ phí thuộc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vi phạm quy định về in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1.000.000 đồng đến 5.000.000 đồng đối với hành vi đặt in, nhận in chứng từ nhưng chưa được cơ quan nhà nước có thẩm quyền chấp thuận bằng văn bản;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4.000.000 đồng đến 9.000.000 đồng đối với hành vi đặt in, nhận in chứng từ trùng ký hiệu, trùng số.</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hành vi vi phạm quy định về đăng ký sử dụng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Phạt tiền từ 500.000 đồng đến 2.000.000 đồng đối với cá nhân, tổ chức sử dụng chứng từ đặc thù nhưng không đăng ký với cơ quan nhà nước có thẩm quyền theo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Đối với hành vi vi phạm quy định về sử dụng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Đối với hành vi lập chứng từ không ghi rõ các chỉ tiêu quy định trong chứng từ, trừ các chỉ tiêu xác định số tiền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cảnh cáo đối với hành vi vi phạm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100.000 đồng đến 300.000 đồng đối với hành vi vi phạm từ lần thứ hai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 đồng đến 5.000.000 đồng đối với hành vi không lập chứng từ khi thu phí, lệ phí, trừ trường hợp thu phí, lệ phí theo quy định không phải lập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Căn cứ vào giá trị ghi trên liên chứng từ thu phí, lệ phí giao cho khách hàng, phạt tiền đối với hành vi lập chứng từ có chênh lệch giữa các liên của mỗi số chứng từ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500.000 đồng đến 1.000.000 đồng đối với mỗi số chứng từ có giá trị chênh lệch dưới 1.000.000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2.000.000 đồng đến 3.000.000 đồng đối với mỗi số chứng từ có giá trị chênh lệch từ 1.000.000 đồng đến dưới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4.000.000 đồng đến 5.000.000 đồng đối với mỗi số chứng từ có giá trị chênh lệch từ 5.000.000 đồng đến dưới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6.000.000 đồng đến 10.000.000 đồng đối với mỗi số chứng từ có giá trị chênh lệch từ 10.000.000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Căn cứ vào giá trị ghi trên liên chứng từ thu phí, lệ phí giao cho khách hàng, phạt tiền đối với hành vi lập chứng từ khống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1.000.000 đồng đến 2.000.000 đồng đối với mỗi số chứng từ có giá trị dưới 2.000.000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3.000.000 đồng đến 5.000.000 đồng đối với mỗi số chứng từ có giá trị từ 2.000.000 đến dưới 5.000.000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Phạt tiền từ 6.000.000 đồng đến 20.000.000 đồng đối với mỗi số chứng từ có giá trị từ 5.000.000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1.000.000 đồng đến 2.000.000 đồng cho mỗi số chứng từ đối với hành vi sử dụng chứng từ đã hết giá trị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2.000.000 đồng đến 6.000.000 đồng cho mỗi số chứng từ đối với hành vi tẩy xoá, sửa chữa nội dung các chỉ tiêu của chứng từ đã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 Phạt tiền từ 3.000.000 đồng đến 10.000.000 đồng cho mỗi số chứng từ đối với hành vi sử dụng chứng từ giả.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h) Mức phạt tiền đối với các hành vi vi phạm quy định tại các điểm c, d, đ, e và g khoản 3 Điều này tối đa là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Đối với hành vi vi phạm quy định về quản lý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100.000 đồng đến 500.000 đồng đối với cá nhân, tổ chức thực hiện báo cáo sử dụng, thanh toán, quyết toán sử dụng chứng từ chậm; lưu trữ, bảo quản chứng từ không đúng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500.000 đồng đến 1.000.000 đồng đối với cá nhân, tổ chức không báo cáo sử dụng, thanh toán, quyết toán sử dụng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1.000.000 đồng đến 2.000.000 đồng đối với hành vi nhận, mua chứng từ không đúng quy định cho mỗi số chứng từ sử dụng. Mức phạt tối đa là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Đối với hành vi làm mất, cho, bán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500.000 đồng đối với hành vi làm mất liên giao cho khách hàng của mỗi số chứng từ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200.000 đồng đối với hành vi làm mất các liên của mỗi số chứng từ, trừ liên giao cho khách hàng của chứng từ chưa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Đối với hành vi cho, bán chứng từ:</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cho, bán chứng từ phát hiện đã sử dụng thì cá nhân, tổ chức cho, bán chứng từ bị xử phạt theo mức quy định tại điểm d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 Trường hợp cho, bán chứng từ chưa sử dụng thì cá nhân, tổ chức cho, bán chứng từ bị xử phạt theo mức quy định tại điểm a và điểm b khoản 5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Mức phạt đối với các hành vi quy định tại các điểm a, b và c khoản 5 Điều này tối đa là 50.000.000 đồng; riêng trường hợp cho, bán chứng từ phát hiện đã sử dụng áp dụng mức phạt tối đa theo quy định tại điểm h khoản 3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Ngoài việc bị phạt tiền, cá nhân, tổ chức có hành vi vi phạm quy định tại điểm b khoản 1; các điểm b, c, d, đ, e, g khoản 3; điểm c khoản 4; điểm c khoản 5 Điều này còn có thể bị xử phạt bổ sung theo quy định tại khoản 2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Ngoài các hình thức xử phạt chính, xử phạt bổ sung, cá nhân, tổ chức vi phạm hành chính quy định tại các điểm b, c, d, đ, g khoản 3; điểm c khoản 4; điểm c khoản 5 Điều này còn bị áp dụng một hoặc những biện pháp khắc phục hậu quả quy định tại các điểm a, c và d khoản 3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w:t>
      </w:r>
      <w:r>
        <w:t xml:space="preserve"> Vi phạm quy định về miễn, giảm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Đối với hành vi khai man, khai khống hồ sơ để được áp dụng chính sách miễn, giảm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cảnh cáo đối với hành vi vi phạm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 đồng đến 500.000 đồng đối với hành vi vi phạm từ lần thứ hai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Đối với hành vi khai man, khai khống hồ sơ để được hưởng chênh lệch từ việc thực hiện chính sách miễn, giảm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Phạt tiền từ 500.000 đồng đến dưới 1.000.000 đồng đối với hành vi vi phạm có số tiền chênh lệch đến dưới 10.000.000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Phạt tiền từ 1.000.000 đồng đến dưới 3.000.000 đồng đối với hành vi vi phạm có số tiền chênh lệch từ 10.000.000 đồng đến dưới 30.000.000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Phạt tiền từ 3.000.000 đồng đến dưới 5.000.000 đồng đối với hành vi vi phạm có số tiền chênh lệch từ 30.000.000 đồng đến dưới 50.000.000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Phạt tiền từ 5.000.000 đồng đến dưới 10.000.000 đồng đối với hành vi vi phạm có số tiền chênh lệch từ 50.000.000 đồng đến dưới 100.000.000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 Phạt tiền từ 10.000.000 đồng đến dưới 30.000.000 đồng đối với hành vi vi phạm có số tiền chênh lệch từ 100.000.000 đồng đến dưới 300.000.000 đồng;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e) Phạt tiền từ 30.000.000 đồng đến 50.000.000 đồng đối với hành vi vi phạm có số tiền chênh lệch từ 300.000.000 đồng trở lên.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Ngoài việc bị phạt tiền, cá nhân, tổ chức vi phạm hành chính quy định tại khoản 2 Điều này mà có tình tiết tăng nặng còn có thể bị xử phạt bổ sung theo quy định tại điểm a khoản 2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Ngoài các hình thức xử phạt chính, xử phạt bổ sung, cá nhân, tổ chức vi phạm quy định tại khoản 1 và khoản 2 Điều này còn bị áp dụng biện pháp khắc phục hậu quả quy định tại điểm a khoản 3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w:t>
      </w:r>
      <w:r>
        <w:t xml:space="preserve"> Vi phạm quy định chế độ kế toán trong lĩnh vực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Cá nhân, tổ chức có hành vi vi phạm quy định chế độ kế toán đối với phí, lệ phí bị xử phạt theo quy định của pháp luật về xử phạt vi phạm hành chính trong lĩnh vực kế toán.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w:t>
      </w:r>
      <w:r>
        <w:t xml:space="preserve"> Vi phạm quy định về công khai chế độ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Đối với hành vi không thực hiện niêm yết hoặc thông báo công khai tại địa điểm thu phí, lệ phí ở vị trí thuận tiện để các đối tượng nộp phí dễ nhận biết về tên phí, lệ phí, mức thu, chứng từ thu và văn bản quy định thu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Phạt cảnh cáo đối với hành vi vi phạm lần đầu;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Phạt tiền từ 500.000 đồng đến 1.000.000 đồng đối với hành vi vi phạm từ lần thứ hai trở đi.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r>
        <w:rPr>
          <w:b/>
        </w:rPr>
        <w:br/>
      </w:r>
      <w:r>
        <w:rPr>
          <w:b/>
        </w:rPr>
        <w:t xml:space="preserve">THẨM QUYỀN, THỦ TỤC XỬ PHẠT VI PHẠM HÀNH CHÍNH TRONG LĨNH VỰC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w:t>
      </w:r>
      <w:r>
        <w:t xml:space="preserve"> Thẩm quyền xử phạt vi phạm hành chính trong lĩnh vực phí, lệ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Thẩm quyền xử phạt vi phạm hành chính trong lĩnh vực phí lệ phí thực hiện theo quy định tại các Điều 28, 29, 30, 31, 34, 35, 36, 37, 38, 39 và Điều 40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Nguyên tắc xác định thẩm quyền xử lý vi phạm hành chính trong lĩnh vực phí, lệ phí thực hiện theo quy định tại Điều 42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w:t>
      </w:r>
      <w:r>
        <w:t xml:space="preserve"> Thủ tục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Thủ tục và trình tự xử phạt các hành vi vi phạm hành chính trong lĩnh vực phí, lệ phí thực hiện theo quy định tại các Điều 53, 54, 55, 56, 57, 58, 59, 60 và Điều 61 của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phạt vi phạm hành chính trong lĩnh vực phí, lệ phí thu được phải nộp vào ngân sách nhà nước qua tài khoản mở tại Kho bạc Nhà nước. Chế độ quản lý biên lai thu tiền phạt và tiền nộp phạt thực hiện theo quy định của pháp luật hiện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Bộ Tài chính hướng dẫn cụ thể thủ tục, trình tự xử lý các biện pháp khắc phục hậu quả nêu tại khoản 3 Điều 8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r>
        <w:rPr>
          <w:b/>
        </w:rPr>
        <w:br/>
      </w:r>
      <w:r>
        <w:rPr>
          <w:b/>
        </w:rPr>
        <w:t xml:space="preserve">KHIẾU NẠI, TỐ CÁO,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w:t>
      </w:r>
      <w:r>
        <w:t xml:space="preserve"> Khiếu nại, tố cáo, giải quyết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khiếu nại, tố cáo và giải quyết khiếu nại, tố cáo đối với những quyết định xử phạt vi phạm hành chính trong lĩnh vực phí, lệ phí áp dụng theo quy định của pháp luật về khiếu nại, tố cáo.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Trong thời gian chờ giải quyết khiếu nại, cá nhân, tổ chức bị xử phạt vi phạm hành chính trong lĩnh vực phí, lệ phí phải nghiêm chỉnh chấp hành quyết định xử phạt của cơ quan có thẩm quyền. Việc khiếu nại quyết định xử phạt vi phạm hành chính không làm đình chỉ thi hành quyết định xử phạt.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w:t>
      </w:r>
      <w:r>
        <w:t xml:space="preserve"> Xử lý vi phạm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có thẩm quyền xử phạt vi phạm hành chính trong lĩnh vực phí, lệ phí mà vụ lợi cá nhân hoặc thiếu tinh thần trách nhiệm, bao che, không xử phạt hoặc xử phạt không kịp thời, không đúng mức, xử phạt vượt quá thẩm quyền quy định thì tuỳ theo tính chất, mức độ vi phạm sẽ bị xử lý kỷ luật hoặc truy cứu trách nhiệm hình sự; nếu gây thiệt hại cho Nhà nước, tổ chức, cá nhân thì phải bồi thường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bị xử phạt vi phạm hành chính trong lĩnh vực phí, lệ phí nếu có hành vi cản trở, chống người thi hành công vụ hoặc cố tình trì hoãn, trốn tránh thực hiện quyết định xử phạt vi phạm hành chính thì tuỳ theo tính chất, mức độ vi phạm sẽ bị xử lý vi phạm hành chính, hoặc truy cứu trách nhiệm hình sự theo các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w:t>
      </w:r>
      <w:r>
        <w:rPr>
          <w:b/>
        </w:rPr>
        <w:br/>
      </w: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w:t>
      </w:r>
      <w:r>
        <w:t xml:space="preserve">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Nghị định này có hiệu lực thi hành sau 15 ngày, kể từ ngày đăng Công báo. Những quy định về xử phạt vi phạm hành chính trong lĩnh vực phí, lệ phí trước đây trái với Nghị định này đều bãi bỏ.</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Các quy định khác về xử phạt vi phạm hành chính trong lĩnh vực phí, lệ phí không nêu tại Nghị định được thực hiện theo quy định của Pháp lệnh Xử lý vi phạm hành chính ngày 02 tháng 7 năm 2002.</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w:t>
      </w:r>
      <w:r>
        <w:t xml:space="preserve"> Bộ Tài chính hướng dẫn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w:t>
      </w:r>
      <w:r>
        <w:t xml:space="preserve"> Các Bộ trưởng, Thủ trưởng cơ quan ngang Bộ, Thủ trưởng cơ quan thuộc Chính phủ và Chủ tịch Uỷ ban nhân dân các tỉnh, thành phố trực thuộc Trung ương chịu trách nhiệm thi hành Nghị định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LÝ LIÊN QUAN:</w:t>
      </w:r>
    </w:p>
    <w:p>
      <w:pPr>
        <w:pStyle w:val="Normal(Web)"/>
        <w:divId w:val="1"/>
        <w:rPr>
          <w:vanish w:val="0"/>
        </w:rPr>
      </w:pPr>
      <w:r>
        <w:t xml:space="preserve">1. Tư vấn pháp luật về thuế;</w:t>
      </w:r>
    </w:p>
    <w:p>
      <w:pPr>
        <w:pStyle w:val="Normal(Web)"/>
        <w:divId w:val="2"/>
        <w:rPr>
          <w:vanish w:val="0"/>
        </w:rPr>
      </w:pPr>
      <w:hyperlink r:id="rId9" w:history="1">
        <w:r>
          <w:rPr>
            <w:rStyle w:val="Hyperlink"/>
          </w:rPr>
          <w:t xml:space="preserve">2.Tư vấn đăng ký chất lượng hàng hóa;</w:t>
        </w:r>
      </w:hyperlink>
    </w:p>
    <w:p>
      <w:pPr>
        <w:pStyle w:val="Normal(Web)"/>
        <w:divId w:val="3"/>
        <w:rPr>
          <w:vanish w:val="0"/>
        </w:rPr>
      </w:pPr>
      <w:hyperlink r:id="rId10" w:history="1">
        <w:r>
          <w:rPr>
            <w:rStyle w:val="Hyperlink"/>
          </w:rPr>
          <w:t xml:space="preserve">3. Dịch vụ kê khai báo cáo thuế hàng tháng;</w:t>
        </w:r>
      </w:hyperlink>
    </w:p>
    <w:p>
      <w:pPr>
        <w:pStyle w:val="Normal(Web)"/>
        <w:divId w:val="4"/>
        <w:rPr>
          <w:vanish w:val="0"/>
        </w:rPr>
      </w:pPr>
      <w:hyperlink r:id="rId11" w:history="1">
        <w:r>
          <w:rPr>
            <w:rStyle w:val="Hyperlink"/>
          </w:rPr>
          <w:t xml:space="preserve">4. Kế toán thuế cho doanh nghiệp mới thành lập;</w:t>
        </w:r>
      </w:hyperlink>
    </w:p>
    <w:p>
      <w:pPr>
        <w:pStyle w:val="Normal(Web)"/>
        <w:divId w:val="6"/>
        <w:rPr>
          <w:vanish w:val="0"/>
        </w:rPr>
      </w:pPr>
      <w:r>
        <w:t xml:space="preserve">5. Tư vấn pháp luật thương mại quốc tế và thuế;</w:t>
      </w:r>
    </w:p>
    <w:p>
      <w:pPr>
        <w:pStyle w:val="Normal(Web)"/>
        <w:divId w:val="7"/>
        <w:rPr>
          <w:vanish w:val="0"/>
        </w:rPr>
      </w:pPr>
      <w:hyperlink r:id="rId12" w:history="1">
        <w:r>
          <w:rPr>
            <w:rStyle w:val="Hyperlink"/>
          </w:rPr>
          <w:t xml:space="preserve">6. Dịch vụ luật sư tư vấn pháp luật thường xuyên;</w:t>
        </w:r>
      </w:hyperlink>
    </w:p>
    <w:p>
      <w:pPr>
        <w:pStyle w:val="Normal(Web)"/>
        <w:divId w:val="8"/>
        <w:rPr>
          <w:vanish w:val="0"/>
        </w:rPr>
      </w:pPr>
      <w:r>
        <w:t xml:space="preserve">7. Dịch vụ kế toán thuế thường xuyên cho doanh nghiệp;</w:t>
      </w:r>
    </w:p>
    <w:p>
      <w:pPr>
        <w:pStyle w:val="Normal(Web)"/>
        <w:divId w:val="9"/>
        <w:rPr>
          <w:vanish w:val="0"/>
        </w:rPr>
      </w:pPr>
      <w:hyperlink r:id="rId13" w:history="1">
        <w:r>
          <w:rPr>
            <w:rStyle w:val="Hyperlink"/>
          </w:rPr>
          <w:t xml:space="preserve">8. Luật sư tư vấn pháp luật Tài Chính, Thuế và Ngân Hàng;</w:t>
        </w:r>
      </w:hyperlink>
    </w:p>
    <w:sectPr>
      <w:headerReference w:type="default" r:id="rId14"/>
      <w:footerReference w:type="default" r:id="rId1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sChild>
        <w:div w:id="6">
          <w:marLeft w:val="0"/>
          <w:marRight w:val="0"/>
          <w:marTop w:val="-20"/>
          <w:marBottom w:val="-20"/>
          <w:divBdr>
            <w:top w:val="none" w:sz="0" w:space="0" w:color="auto"/>
            <w:left w:val="none" w:sz="0" w:space="0" w:color="auto"/>
            <w:bottom w:val="none" w:sz="0" w:space="0" w:color="auto"/>
            <w:right w:val="none" w:sz="0" w:space="0" w:color="auto"/>
          </w:divBdr>
        </w:div>
      </w:divsChild>
    </w:div>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ke-khai-bao-cao-thue-hang-thang.aspx" TargetMode="External" /><Relationship Id="rId11" Type="http://schemas.openxmlformats.org/officeDocument/2006/relationships/hyperlink" Target="/dich-vu-dat-in-hoa-don-gia-tri-gia-tang-vat-.aspx" TargetMode="External" /><Relationship Id="rId12" Type="http://schemas.openxmlformats.org/officeDocument/2006/relationships/hyperlink" Target="/tu-van-phap-luat-cho-doanh-nghiep.aspx" TargetMode="External" /><Relationship Id="rId13" Type="http://schemas.openxmlformats.org/officeDocument/2006/relationships/hyperlink" Target="/luat-su-tu-van-phap-luat-tai-chinh--thue-va-ngan-hang.aspx"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styles" Target="styles.xml" /><Relationship Id="rId18" Type="http://schemas.openxmlformats.org/officeDocument/2006/relationships/webSettings" Target="webSettings.xml" /><Relationship Id="rId19" Type="http://schemas.openxmlformats.org/officeDocument/2006/relationships/numbering" Target="numbering.xml" /><Relationship Id="rId2" Type="http://schemas.openxmlformats.org/officeDocument/2006/relationships/customXml" Target="../customXml/item2.xml" /><Relationship Id="rId20"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image" Target="media/image1.jpeg" /><Relationship Id="rId6" Type="http://schemas.openxmlformats.org/officeDocument/2006/relationships/hyperlink" Target="/luat-su-tu-van-phap-luat-thue-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nghi-dinh-106-2003-nd-cp-quy-dinh-ve-viec-xu-phat-vi-pham-hanh-chinh-trong-linh-vuc-phi-le-phi.aspx" TargetMode="External" /><Relationship Id="rId9" Type="http://schemas.openxmlformats.org/officeDocument/2006/relationships/hyperlink" Target="/tu-van-dang-ky-chat-luong-hang-hoa.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2022-06-22T15:15:13Z</dcterms:created>
  <dcterms:modified xsi:type="dcterms:W3CDTF">2022-06-22T15:15:13Z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2022-06-22T15:15:13Z</dcterms:created>
  <dcterms:modified xsi:type="dcterms:W3CDTF">2022-06-22T15:15:13Z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2022-06-22T15:15:13Z</dcterms:created>
  <dcterms:modified xsi:type="dcterms:W3CDTF">2022-06-22T15:15:13Z</dcterms:modified>
</cp:coreProperties>
</file>