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1"/>
        <w:gridCol w:w="5826"/>
      </w:tblGrid>
      <w:tr w:rsidR="00831121" w:rsidRPr="00831121" w:rsidTr="00831121">
        <w:trPr>
          <w:trHeight w:val="1240"/>
          <w:tblCellSpacing w:w="0" w:type="dxa"/>
        </w:trPr>
        <w:tc>
          <w:tcPr>
            <w:tcW w:w="3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31121" w:rsidRPr="00831121" w:rsidRDefault="00831121" w:rsidP="00831121">
            <w:pPr>
              <w:spacing w:before="100" w:beforeAutospacing="1" w:after="90" w:line="360" w:lineRule="auto"/>
              <w:jc w:val="center"/>
              <w:rPr>
                <w:rFonts w:ascii="Times New Roman" w:eastAsia="Times New Roman" w:hAnsi="Times New Roman" w:cs="Times New Roman"/>
                <w:sz w:val="28"/>
                <w:szCs w:val="28"/>
              </w:rPr>
            </w:pPr>
            <w:bookmarkStart w:id="0" w:name="_GoBack"/>
            <w:bookmarkEnd w:id="0"/>
            <w:r w:rsidRPr="00831121">
              <w:rPr>
                <w:rFonts w:ascii="Times New Roman" w:eastAsia="Times New Roman" w:hAnsi="Times New Roman" w:cs="Times New Roman"/>
                <w:b/>
                <w:bCs/>
                <w:sz w:val="28"/>
                <w:szCs w:val="28"/>
              </w:rPr>
              <w:t>CHÍNH PHỦ</w:t>
            </w:r>
            <w:r w:rsidRPr="00831121">
              <w:rPr>
                <w:rFonts w:ascii="Times New Roman" w:eastAsia="Times New Roman" w:hAnsi="Times New Roman" w:cs="Times New Roman"/>
                <w:b/>
                <w:bCs/>
                <w:sz w:val="28"/>
                <w:szCs w:val="28"/>
              </w:rPr>
              <w:br/>
              <w:t>--------</w:t>
            </w:r>
          </w:p>
        </w:tc>
        <w:tc>
          <w:tcPr>
            <w:tcW w:w="58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31121" w:rsidRPr="00831121" w:rsidRDefault="00831121" w:rsidP="00831121">
            <w:pPr>
              <w:spacing w:before="100" w:beforeAutospacing="1" w:after="90" w:line="360" w:lineRule="auto"/>
              <w:jc w:val="center"/>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CỘNG HÒA XÃ HỘI CHỦ NGHĨA VIỆT NAM</w:t>
            </w:r>
            <w:r w:rsidRPr="00831121">
              <w:rPr>
                <w:rFonts w:ascii="Times New Roman" w:eastAsia="Times New Roman" w:hAnsi="Times New Roman" w:cs="Times New Roman"/>
                <w:b/>
                <w:bCs/>
                <w:sz w:val="28"/>
                <w:szCs w:val="28"/>
              </w:rPr>
              <w:br/>
              <w:t>Độc lập - Tự do - Hạnh phúc</w:t>
            </w:r>
            <w:r w:rsidRPr="00831121">
              <w:rPr>
                <w:rFonts w:ascii="Times New Roman" w:eastAsia="Times New Roman" w:hAnsi="Times New Roman" w:cs="Times New Roman"/>
                <w:b/>
                <w:bCs/>
                <w:sz w:val="28"/>
                <w:szCs w:val="28"/>
              </w:rPr>
              <w:br/>
              <w:t>---------------</w:t>
            </w:r>
          </w:p>
        </w:tc>
      </w:tr>
      <w:tr w:rsidR="00831121" w:rsidRPr="00831121" w:rsidTr="00831121">
        <w:trPr>
          <w:trHeight w:val="480"/>
          <w:tblCellSpacing w:w="0" w:type="dxa"/>
        </w:trPr>
        <w:tc>
          <w:tcPr>
            <w:tcW w:w="3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31121" w:rsidRPr="00831121" w:rsidRDefault="00831121" w:rsidP="00831121">
            <w:pPr>
              <w:spacing w:before="100" w:beforeAutospacing="1" w:after="90" w:line="360" w:lineRule="auto"/>
              <w:jc w:val="center"/>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Số: 38/2019/NĐ-CP</w:t>
            </w:r>
          </w:p>
        </w:tc>
        <w:tc>
          <w:tcPr>
            <w:tcW w:w="58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31121" w:rsidRPr="00831121" w:rsidRDefault="00831121" w:rsidP="00831121">
            <w:pPr>
              <w:spacing w:before="100" w:beforeAutospacing="1" w:after="90" w:line="360" w:lineRule="auto"/>
              <w:jc w:val="right"/>
              <w:rPr>
                <w:rFonts w:ascii="Times New Roman" w:eastAsia="Times New Roman" w:hAnsi="Times New Roman" w:cs="Times New Roman"/>
                <w:sz w:val="28"/>
                <w:szCs w:val="28"/>
              </w:rPr>
            </w:pPr>
            <w:r w:rsidRPr="00831121">
              <w:rPr>
                <w:rFonts w:ascii="Times New Roman" w:eastAsia="Times New Roman" w:hAnsi="Times New Roman" w:cs="Times New Roman"/>
                <w:i/>
                <w:iCs/>
                <w:sz w:val="28"/>
                <w:szCs w:val="28"/>
              </w:rPr>
              <w:t>Hà Nội, ngày 09 tháng 05 năm 2019</w:t>
            </w:r>
          </w:p>
        </w:tc>
      </w:tr>
    </w:tbl>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p>
    <w:p w:rsidR="00831121" w:rsidRPr="00831121" w:rsidRDefault="00831121" w:rsidP="00831121">
      <w:pPr>
        <w:spacing w:before="100" w:beforeAutospacing="1" w:after="90" w:line="360" w:lineRule="auto"/>
        <w:jc w:val="center"/>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NGHỊ ĐỊNH</w:t>
      </w:r>
    </w:p>
    <w:p w:rsidR="00831121" w:rsidRPr="00831121" w:rsidRDefault="00831121" w:rsidP="00831121">
      <w:pPr>
        <w:spacing w:before="100" w:beforeAutospacing="1" w:after="90" w:line="360" w:lineRule="auto"/>
        <w:jc w:val="center"/>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QUY ĐỊNH MỨC LƯƠNG CƠ SỞ ĐỐI VỚI CÁN BỘ, CÔNG CHỨC, VIÊN CHỨC VÀ LỰC LƯỢNG VŨ TRANG</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i/>
          <w:iCs/>
          <w:sz w:val="28"/>
          <w:szCs w:val="28"/>
        </w:rPr>
        <w:t>Căn cứ Luật tổ chức Chính phủ ngày 19 tháng 6 năm 2015;</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i/>
          <w:iCs/>
          <w:sz w:val="28"/>
          <w:szCs w:val="28"/>
        </w:rPr>
        <w:t>Căn cứ Bộ luật Lao động ngày 18 tháng 6 năm 2012;</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i/>
          <w:iCs/>
          <w:sz w:val="28"/>
          <w:szCs w:val="28"/>
        </w:rPr>
        <w:t>Căn cứ Nghị quyết số 70/2018/QH14 ngày 09 tháng 11 năm 2018 của Quốc hội về dự toán ngân sách nhà nước năm 2019;</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i/>
          <w:iCs/>
          <w:sz w:val="28"/>
          <w:szCs w:val="28"/>
        </w:rPr>
        <w:t>Theo đề nghị của Bộ trưởng Bộ Nội vụ và Bộ trưởng Bộ Tài chính;</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i/>
          <w:iCs/>
          <w:sz w:val="28"/>
          <w:szCs w:val="28"/>
        </w:rPr>
        <w:t>Chính phủ ban hành Nghị định quy định mức lương cơ sở đối với cán bộ, công chức, viên chức và lực lượng vũ trang.</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Điều 1. Phạm vi điều chỉnh</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 xml:space="preserve">Nghị định này quy định mức lương cơ sở áp dụng đối với cán bộ, công chức, viên chức, người hưởng lương, phụ cấp và người lao động (sau đây gọi chung là người hưởng lương, phụ cấp) làm việc trong các cơ quan, tổ chức, đơn vị sự nghiệp của Đảng, Nhà nước, tổ chức chính trị - xã hội và hội được ngân sách nhà nước hỗ trợ kinh phí hoạt động ở trung ương, ở tỉnh, thành phố trực thuộc </w:t>
      </w:r>
      <w:r w:rsidRPr="00831121">
        <w:rPr>
          <w:rFonts w:ascii="Times New Roman" w:eastAsia="Times New Roman" w:hAnsi="Times New Roman" w:cs="Times New Roman"/>
          <w:sz w:val="28"/>
          <w:szCs w:val="28"/>
        </w:rPr>
        <w:lastRenderedPageBreak/>
        <w:t>trung ương, ở huyện, quận, thị xã, thành phố thuộc tỉnh, thành phố thuộc thành phố trực thuộc trung ương (cấp huyện), ở xã, phường, thị trấn (cấp xã), ở đơn vị hành chính - kinh tế đặc biệt và lực lượng vũ trang.</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Điều 2. Đối tượng áp dụng</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Người hưởng lương, phụ cấp quy định tại Điều 1 Nghị định này bao gồm:</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1. Cán bộ, công chức từ trung ương đến cấp huyện quy định tại khoản 1 và khoản 2 Điều 4 Luật cán bộ, công chức năm 2008.</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2. Cán bộ, công chức cấp xã quy định tại khoản 3 Điều 4 Luật cán bộ, công chức năm 2008.</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3. Viên chức trong các đơn vị sự nghiệp công lập theo quy định tại Luật viên chức năm 2010.</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4. Người làm việc theo chế độ hợp đồng lao động xếp lương theo Nghị định số 204/2004/NĐ-CP ngày 14 tháng 12 năm 2004 của Chính phủ về chế độ tiền lương đối với cán bộ, công chức, viên chức và lực lượng vũ trang, gồm: Người làm việc theo chế độ hợp đồng lao động trong các cơ quan, đơn vị của Đảng, Nhà nước, tổ chức chính trị - xã hội quy định tại Nghị định số 68/2000/NĐ-CP ngày 17 tháng 11 năm 2000 của Chính phủ về thực hiện chế độ hợp đồng một số loại công việc trong cơ quan hành chính nhà nước, đơn vị sự nghiệp và Nghị định số 161/2018/NĐ-CP ngày 29 tháng 11 năm 2018 của Chính phủ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 xml:space="preserve">5. Người làm việc trong chỉ tiêu biên chế trong các hội được ngân sách nhà nước hỗ trợ kinh phí hoạt động quy định tại Nghị định số 45/2010/NĐ-CP ngày </w:t>
      </w:r>
      <w:r w:rsidRPr="00831121">
        <w:rPr>
          <w:rFonts w:ascii="Times New Roman" w:eastAsia="Times New Roman" w:hAnsi="Times New Roman" w:cs="Times New Roman"/>
          <w:sz w:val="28"/>
          <w:szCs w:val="28"/>
        </w:rPr>
        <w:lastRenderedPageBreak/>
        <w:t>21 tháng 4 năm 2010 của Chính phủ quy định về tổ chức, hoạt động và quản lý hội.</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6. Sĩ quan, quân nhân chuyên nghiệp, hạ sĩ quan, binh sĩ và công nhân, viên chức quốc phòng, lao động hợp đồng thuộc Quân đội nhân dân Việt Nam.</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7. Sĩ quan, hạ sĩ quan hưởng lương, hạ sĩ quan, chiến sĩ nghĩa vụ, công nhân công an và lao động hợp đồng thuộc Công an nhân dân.</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8. Người làm việc trong tổ chức cơ yếu.</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9. Người hoạt động không chuyên trách ở cấp xã, ở thôn và tổ dân phố.</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Điều 3. Mức lương cơ sở</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1. Mức lương cơ sở dùng làm căn cứ:</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a) Tính mức lương trong các bảng lương, mức phụ cấp và thực hiện các chế độ khác theo quy định của pháp luật đối với các đối tượng quy định tại Điều 2 Nghị định này;</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b) Tính mức hoạt động phí, sinh hoạt phí theo quy định của pháp luật;</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c) Tính các khoản trích và các chế độ được hưởng theo mức lương cơ sở.</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2. Từ ngày 01 tháng 7 năm 2019, mức lương cơ sở là 1.490.000 đồng/tháng.</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3. Chính phủ trình Quốc hội xem xét điều chỉnh mức lương cơ sở phù hợp khả năng ngân sách nhà nước, chỉ số giá tiêu dùng và tốc độ tăng trưởng kinh tế của đất nước.</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Điều 4. Kinh phí thực hiện</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lastRenderedPageBreak/>
        <w:t>1. Các bộ, cơ quan ngang bộ, cơ quan thuộc Chính phủ, cơ quan khác ở trung ương:</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a) Sử dụng nguồn tiết kiệm 10% chi thường xuyên (không kể các khoản chi tiền lương, phụ cấp theo lương, các khoản có tính chất lương và các khoản chi cho con người theo chế độ) dự toán năm 2019 tăng thêm so với dự toán năm 2018 được cấp có thẩm quyền giao;</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b) Một phần nguồn thu được để lại theo chế độ của cơ quan hành chính, đơn vị sự nghiệp công lập;</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c) Sử dụng nguồn thực hiện cải cách tiền lương năm 2018 chưa sử dụng hết chuyển sang (nếu có).</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2. Các tỉnh, thành phố trực thuộc trung ương:</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a) Sử dụng nguồn tiết kiệm 10% chi thường xuyên (không kể các khoản chi tiền lương, phụ cấp theo lương, các khoản có tính chất lương và các khoản chi cho con người theo chế độ) dự toán năm 2019 tăng thêm so với dự toán năm 2018 được cấp có thẩm quyền giao;</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b) Sử dụng nguồn 50% tăng thu ngân sách địa phương (không kể thu tiền sử dụng đất, thu xổ số kiến thiết) thực hiện so với dự toán năm 2018 do Thủ tướng Chính phủ giao;</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c) Sử dụng 50% phần ngân sách nhà nước giảm chi hỗ trợ hoạt động thường xuyên trong lĩnh vực hành chính (do thực hiện tinh giản biên chế và đổi mới, sắp xếp lại bộ máy của hệ thống chính trị tinh gọn, hoạt động hiệu lực, hiệu quả) và các đơn vị sự nghiệp công lập (do thực hiện đổi mới hệ thống tổ chức và quản lý, nâng cao chất lượng và hiệu quả hoạt động của đơn vị sự nghiệp công lập);</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d) Sử dụng nguồn thực hiện cải cách tiền lương năm 2018 chưa sử dụng hết chuyển sang (nếu có);</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đ) Sử dụng nguồn còn dư (nếu có) sau khi bảo đảm nhu cầu điều chỉnh tiền lương đến mức lương cơ sở 1.390.000 đồng/tháng, từ các nguồn:</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 Tiết kiệm 10% chi thường xuyên (không kể các khoản chi tiền lương, phụ cấp theo lương, các khoản có tính chất lương và các khoản chi cho con người theo chế độ) dự toán năm 2017 được cấp có thẩm quyền giao.</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 Tiết kiệm 10% chi thường xuyên (không kể các khoản chi tiền lương, phụ cấp theo lương, các khoản có tính chất lương và các khoản chi cho con người theo chế độ) dự toán năm 2018 tăng thêm so với dự toán năm 2017 được cấp có thẩm quyền giao.</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- 50% tăng thu ngân sách địa phương (không kể thu tiền sử dụng đất, thu xổ số kiến thiết) dự toán năm 2018 so với dự toán năm 2017 do Thủ tướng Chính phủ giao.</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- 50% tăng thu ngân sách địa phương (không kể thu tiền sử dụng đất, thu xổ số kiến thiết) dự toán năm 2019 so với dự toán năm 2018 do Thủ tướng Chính phủ giao.</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 Một phần nguồn thu được để lại theo chế độ năm 2019 của cơ quan hành chính, đơn vị sự nghiệp công lập.</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3. Ngân sách trung ương bổ sung nguồn kinh phí còn thiếu do điều chỉnh mức lương cơ sở năm 2019 cho các bộ, cơ quan ngang bộ, cơ quan thuộc Chính phủ, cơ quan khác ở trung ương và các tỉnh, thành phố trực thuộc trung ương sau khi đã thực hiện các quy định tại khoản 1 và khoản 2 Điều này.</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Điều 5. Hiệu lực thi hành</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1. Nghị định này có hiệu lực thi hành từ ngày 01 tháng 7 năm 2019.</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2. Nghị định số 72/2018/NĐ-CP ngày 15 tháng 5 năm 2018 của Chính phủ quy định mức lương cơ sở đối với cán bộ, công chức, viên chức và lực lượng vũ trang hết hiệu lực kể từ ngày Nghị định này có hiệu lực thi hành.</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Điều 6. Trách nhiệm hướng dẫn và thi hành</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1. Bộ trưởng Bộ Nội vụ hướng dẫn thực hiện các quy định tại Nghị định này đối với các đối tượng hưởng lương, phụ cấp trong các cơ quan, tổ chức, đơn vị của Đảng, Nhà nước, tổ chức chính trị - xã hội và hội.</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2. Bộ trưởng Bộ Quốc phòng, Bộ trưởng Bộ Công an hướng dẫn thực hiện các quy định tại Nghị định này đối với các đối tượng thuộc phạm vi quản lý.</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3. Bộ trưởng Bộ Tài chính:</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a) Hướng dẫn việc xác định nhu cầu, nguồn và phương thức chi thực hiện mức lương cơ sở quy định tại Nghị định này;</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b) Thẩm định nhu cầu và bổ sung kinh phí còn thiếu do thực hiện điều chỉnh mức lương cơ sở của các bộ, cơ quan ngang bộ, cơ quan thuộc Chính phủ, cơ quan khác ở trung ương và các tỉnh, thành phố trực thuộc trung ương theo quy định tại Nghị định này, tổng hợp báo cáo Thủ tướng Chính phủ kết quả thực hiện.</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t>4. Các Bộ trưởng, Thủ trưởng cơ quan ngang bộ, Thủ trưởng cơ quan thuộc Chính phủ, Chủ tịch Ủy ban nhân dân tỉnh, thành phố trực thuộc trung ương chịu trách nhiệm thi hành Nghị định này./.</w:t>
      </w:r>
    </w:p>
    <w:p w:rsidR="00831121" w:rsidRPr="00831121" w:rsidRDefault="00831121" w:rsidP="00831121">
      <w:pPr>
        <w:spacing w:before="100" w:beforeAutospacing="1" w:after="90" w:line="360" w:lineRule="auto"/>
        <w:jc w:val="both"/>
        <w:rPr>
          <w:rFonts w:ascii="Times New Roman" w:eastAsia="Times New Roman" w:hAnsi="Times New Roman" w:cs="Times New Roman"/>
          <w:sz w:val="28"/>
          <w:szCs w:val="28"/>
        </w:rPr>
      </w:pPr>
    </w:p>
    <w:tbl>
      <w:tblPr>
        <w:tblW w:w="918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9"/>
        <w:gridCol w:w="4197"/>
      </w:tblGrid>
      <w:tr w:rsidR="00831121" w:rsidRPr="00831121" w:rsidTr="00831121">
        <w:trPr>
          <w:trHeight w:val="7636"/>
          <w:tblCellSpacing w:w="0" w:type="dxa"/>
        </w:trPr>
        <w:tc>
          <w:tcPr>
            <w:tcW w:w="49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31121" w:rsidRPr="00831121" w:rsidRDefault="00831121" w:rsidP="00831121">
            <w:pPr>
              <w:spacing w:before="100" w:beforeAutospacing="1" w:after="90" w:line="360" w:lineRule="auto"/>
              <w:rPr>
                <w:rFonts w:ascii="Times New Roman" w:eastAsia="Times New Roman" w:hAnsi="Times New Roman" w:cs="Times New Roman"/>
                <w:sz w:val="28"/>
                <w:szCs w:val="28"/>
              </w:rPr>
            </w:pPr>
            <w:r w:rsidRPr="00831121">
              <w:rPr>
                <w:rFonts w:ascii="Times New Roman" w:eastAsia="Times New Roman" w:hAnsi="Times New Roman" w:cs="Times New Roman"/>
                <w:sz w:val="28"/>
                <w:szCs w:val="28"/>
              </w:rPr>
              <w:br/>
            </w:r>
            <w:r w:rsidRPr="00831121">
              <w:rPr>
                <w:rFonts w:ascii="Times New Roman" w:eastAsia="Times New Roman" w:hAnsi="Times New Roman" w:cs="Times New Roman"/>
                <w:b/>
                <w:bCs/>
                <w:i/>
                <w:iCs/>
                <w:sz w:val="28"/>
                <w:szCs w:val="28"/>
              </w:rPr>
              <w:t>Nơi nhận:</w:t>
            </w:r>
            <w:r w:rsidRPr="00831121">
              <w:rPr>
                <w:rFonts w:ascii="Times New Roman" w:eastAsia="Times New Roman" w:hAnsi="Times New Roman" w:cs="Times New Roman"/>
                <w:sz w:val="28"/>
                <w:szCs w:val="28"/>
              </w:rPr>
              <w:br/>
              <w:t>- Ban Bí thư Trung ương Đảng;</w:t>
            </w:r>
            <w:r w:rsidRPr="00831121">
              <w:rPr>
                <w:rFonts w:ascii="Times New Roman" w:eastAsia="Times New Roman" w:hAnsi="Times New Roman" w:cs="Times New Roman"/>
                <w:sz w:val="28"/>
                <w:szCs w:val="28"/>
              </w:rPr>
              <w:br/>
              <w:t>- Thủ tướng, các Phó Thủ tướng Chính phủ;</w:t>
            </w:r>
            <w:r w:rsidRPr="00831121">
              <w:rPr>
                <w:rFonts w:ascii="Times New Roman" w:eastAsia="Times New Roman" w:hAnsi="Times New Roman" w:cs="Times New Roman"/>
                <w:sz w:val="28"/>
                <w:szCs w:val="28"/>
              </w:rPr>
              <w:br/>
              <w:t>- Các bộ, cơ quan ngang bộ, cơ quan thuộc Chính phủ;</w:t>
            </w:r>
            <w:r w:rsidRPr="00831121">
              <w:rPr>
                <w:rFonts w:ascii="Times New Roman" w:eastAsia="Times New Roman" w:hAnsi="Times New Roman" w:cs="Times New Roman"/>
                <w:sz w:val="28"/>
                <w:szCs w:val="28"/>
              </w:rPr>
              <w:br/>
              <w:t>- HĐND, UBND các tỉnh, thành phố trực thuộc trung ương;</w:t>
            </w:r>
            <w:r w:rsidRPr="00831121">
              <w:rPr>
                <w:rFonts w:ascii="Times New Roman" w:eastAsia="Times New Roman" w:hAnsi="Times New Roman" w:cs="Times New Roman"/>
                <w:sz w:val="28"/>
                <w:szCs w:val="28"/>
              </w:rPr>
              <w:br/>
              <w:t>- Văn phòng Trung ương và các Ban của Đảng;</w:t>
            </w:r>
            <w:r w:rsidRPr="00831121">
              <w:rPr>
                <w:rFonts w:ascii="Times New Roman" w:eastAsia="Times New Roman" w:hAnsi="Times New Roman" w:cs="Times New Roman"/>
                <w:sz w:val="28"/>
                <w:szCs w:val="28"/>
              </w:rPr>
              <w:br/>
              <w:t>- Văn phòng Tổng Bí thư;</w:t>
            </w:r>
            <w:r w:rsidRPr="00831121">
              <w:rPr>
                <w:rFonts w:ascii="Times New Roman" w:eastAsia="Times New Roman" w:hAnsi="Times New Roman" w:cs="Times New Roman"/>
                <w:sz w:val="28"/>
                <w:szCs w:val="28"/>
              </w:rPr>
              <w:br/>
              <w:t>- Văn phòng Chủ tịch nước;</w:t>
            </w:r>
            <w:r w:rsidRPr="00831121">
              <w:rPr>
                <w:rFonts w:ascii="Times New Roman" w:eastAsia="Times New Roman" w:hAnsi="Times New Roman" w:cs="Times New Roman"/>
                <w:sz w:val="28"/>
                <w:szCs w:val="28"/>
              </w:rPr>
              <w:br/>
              <w:t>- Hội đồng dân tộc và các Ủy ban của Quốc hội;</w:t>
            </w:r>
            <w:r w:rsidRPr="00831121">
              <w:rPr>
                <w:rFonts w:ascii="Times New Roman" w:eastAsia="Times New Roman" w:hAnsi="Times New Roman" w:cs="Times New Roman"/>
                <w:sz w:val="28"/>
                <w:szCs w:val="28"/>
              </w:rPr>
              <w:br/>
              <w:t>- Văn phòng Quốc hội;</w:t>
            </w:r>
            <w:r w:rsidRPr="00831121">
              <w:rPr>
                <w:rFonts w:ascii="Times New Roman" w:eastAsia="Times New Roman" w:hAnsi="Times New Roman" w:cs="Times New Roman"/>
                <w:sz w:val="28"/>
                <w:szCs w:val="28"/>
              </w:rPr>
              <w:br/>
              <w:t>- Tòa án nhân dân tối cao;</w:t>
            </w:r>
            <w:r w:rsidRPr="00831121">
              <w:rPr>
                <w:rFonts w:ascii="Times New Roman" w:eastAsia="Times New Roman" w:hAnsi="Times New Roman" w:cs="Times New Roman"/>
                <w:sz w:val="28"/>
                <w:szCs w:val="28"/>
              </w:rPr>
              <w:br/>
              <w:t>- Viện kiểm sát nhân dân tối cao;</w:t>
            </w:r>
            <w:r w:rsidRPr="00831121">
              <w:rPr>
                <w:rFonts w:ascii="Times New Roman" w:eastAsia="Times New Roman" w:hAnsi="Times New Roman" w:cs="Times New Roman"/>
                <w:sz w:val="28"/>
                <w:szCs w:val="28"/>
              </w:rPr>
              <w:br/>
              <w:t>- Kiểm toán nhà nước;</w:t>
            </w:r>
            <w:r w:rsidRPr="00831121">
              <w:rPr>
                <w:rFonts w:ascii="Times New Roman" w:eastAsia="Times New Roman" w:hAnsi="Times New Roman" w:cs="Times New Roman"/>
                <w:sz w:val="28"/>
                <w:szCs w:val="28"/>
              </w:rPr>
              <w:br/>
              <w:t>- Ủy ban Giám sát tài chính Quốc gia;</w:t>
            </w:r>
            <w:r w:rsidRPr="00831121">
              <w:rPr>
                <w:rFonts w:ascii="Times New Roman" w:eastAsia="Times New Roman" w:hAnsi="Times New Roman" w:cs="Times New Roman"/>
                <w:sz w:val="28"/>
                <w:szCs w:val="28"/>
              </w:rPr>
              <w:br/>
              <w:t>- Ngân hàng Chính sách xã hội;</w:t>
            </w:r>
            <w:r w:rsidRPr="00831121">
              <w:rPr>
                <w:rFonts w:ascii="Times New Roman" w:eastAsia="Times New Roman" w:hAnsi="Times New Roman" w:cs="Times New Roman"/>
                <w:sz w:val="28"/>
                <w:szCs w:val="28"/>
              </w:rPr>
              <w:br/>
              <w:t>- Ngân hàng Phát triển Việt Nam;</w:t>
            </w:r>
            <w:r w:rsidRPr="00831121">
              <w:rPr>
                <w:rFonts w:ascii="Times New Roman" w:eastAsia="Times New Roman" w:hAnsi="Times New Roman" w:cs="Times New Roman"/>
                <w:sz w:val="28"/>
                <w:szCs w:val="28"/>
              </w:rPr>
              <w:br/>
              <w:t>- Ủy ban trung ương Mặt trận Tổ quốc Việt Nam;</w:t>
            </w:r>
            <w:r w:rsidRPr="00831121">
              <w:rPr>
                <w:rFonts w:ascii="Times New Roman" w:eastAsia="Times New Roman" w:hAnsi="Times New Roman" w:cs="Times New Roman"/>
                <w:sz w:val="28"/>
                <w:szCs w:val="28"/>
              </w:rPr>
              <w:br/>
              <w:t>- Cơ quan trung ương của các đoàn thể;</w:t>
            </w:r>
            <w:r w:rsidRPr="00831121">
              <w:rPr>
                <w:rFonts w:ascii="Times New Roman" w:eastAsia="Times New Roman" w:hAnsi="Times New Roman" w:cs="Times New Roman"/>
                <w:sz w:val="28"/>
                <w:szCs w:val="28"/>
              </w:rPr>
              <w:br/>
              <w:t>- VPCP: BTCN, các PCN, Trợ lý TTg, TGĐ Cổng TTĐT, các Vụ, Cục, đơn vị trực thuộc, Công báo;</w:t>
            </w:r>
            <w:r w:rsidRPr="00831121">
              <w:rPr>
                <w:rFonts w:ascii="Times New Roman" w:eastAsia="Times New Roman" w:hAnsi="Times New Roman" w:cs="Times New Roman"/>
                <w:sz w:val="28"/>
                <w:szCs w:val="28"/>
              </w:rPr>
              <w:br/>
              <w:t>- Lưu: VT, KTTH (2b).</w:t>
            </w:r>
          </w:p>
        </w:tc>
        <w:tc>
          <w:tcPr>
            <w:tcW w:w="4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31121" w:rsidRPr="00831121" w:rsidRDefault="00831121" w:rsidP="00831121">
            <w:pPr>
              <w:spacing w:before="100" w:beforeAutospacing="1" w:after="90" w:line="360" w:lineRule="auto"/>
              <w:jc w:val="center"/>
              <w:rPr>
                <w:rFonts w:ascii="Times New Roman" w:eastAsia="Times New Roman" w:hAnsi="Times New Roman" w:cs="Times New Roman"/>
                <w:sz w:val="28"/>
                <w:szCs w:val="28"/>
              </w:rPr>
            </w:pPr>
            <w:r w:rsidRPr="00831121">
              <w:rPr>
                <w:rFonts w:ascii="Times New Roman" w:eastAsia="Times New Roman" w:hAnsi="Times New Roman" w:cs="Times New Roman"/>
                <w:b/>
                <w:bCs/>
                <w:sz w:val="28"/>
                <w:szCs w:val="28"/>
              </w:rPr>
              <w:t>TM. CHÍNH PHỦ</w:t>
            </w:r>
            <w:r w:rsidRPr="00831121">
              <w:rPr>
                <w:rFonts w:ascii="Times New Roman" w:eastAsia="Times New Roman" w:hAnsi="Times New Roman" w:cs="Times New Roman"/>
                <w:sz w:val="28"/>
                <w:szCs w:val="28"/>
              </w:rPr>
              <w:br/>
            </w:r>
            <w:r w:rsidRPr="00831121">
              <w:rPr>
                <w:rFonts w:ascii="Times New Roman" w:eastAsia="Times New Roman" w:hAnsi="Times New Roman" w:cs="Times New Roman"/>
                <w:b/>
                <w:bCs/>
                <w:sz w:val="28"/>
                <w:szCs w:val="28"/>
              </w:rPr>
              <w:t>THỦ TƯỚNG</w:t>
            </w:r>
            <w:r w:rsidRPr="00831121">
              <w:rPr>
                <w:rFonts w:ascii="Times New Roman" w:eastAsia="Times New Roman" w:hAnsi="Times New Roman" w:cs="Times New Roman"/>
                <w:sz w:val="28"/>
                <w:szCs w:val="28"/>
              </w:rPr>
              <w:br/>
            </w:r>
            <w:r w:rsidRPr="00831121">
              <w:rPr>
                <w:rFonts w:ascii="Times New Roman" w:eastAsia="Times New Roman" w:hAnsi="Times New Roman" w:cs="Times New Roman"/>
                <w:sz w:val="28"/>
                <w:szCs w:val="28"/>
              </w:rPr>
              <w:br/>
            </w:r>
            <w:r w:rsidRPr="00831121">
              <w:rPr>
                <w:rFonts w:ascii="Times New Roman" w:eastAsia="Times New Roman" w:hAnsi="Times New Roman" w:cs="Times New Roman"/>
                <w:sz w:val="28"/>
                <w:szCs w:val="28"/>
              </w:rPr>
              <w:br/>
            </w:r>
            <w:r w:rsidRPr="00831121">
              <w:rPr>
                <w:rFonts w:ascii="Times New Roman" w:eastAsia="Times New Roman" w:hAnsi="Times New Roman" w:cs="Times New Roman"/>
                <w:sz w:val="28"/>
                <w:szCs w:val="28"/>
              </w:rPr>
              <w:br/>
            </w:r>
            <w:r w:rsidRPr="00831121">
              <w:rPr>
                <w:rFonts w:ascii="Times New Roman" w:eastAsia="Times New Roman" w:hAnsi="Times New Roman" w:cs="Times New Roman"/>
                <w:sz w:val="28"/>
                <w:szCs w:val="28"/>
              </w:rPr>
              <w:br/>
            </w:r>
            <w:r w:rsidRPr="00831121">
              <w:rPr>
                <w:rFonts w:ascii="Times New Roman" w:eastAsia="Times New Roman" w:hAnsi="Times New Roman" w:cs="Times New Roman"/>
                <w:b/>
                <w:bCs/>
                <w:sz w:val="28"/>
                <w:szCs w:val="28"/>
              </w:rPr>
              <w:t>Nguyễn Xuân Phúc</w:t>
            </w:r>
          </w:p>
        </w:tc>
      </w:tr>
    </w:tbl>
    <w:p w:rsidR="00A34EE3" w:rsidRPr="00831121" w:rsidRDefault="00702E25" w:rsidP="00831121">
      <w:pPr>
        <w:spacing w:line="360" w:lineRule="auto"/>
        <w:rPr>
          <w:rFonts w:ascii="Times New Roman" w:hAnsi="Times New Roman" w:cs="Times New Roman"/>
          <w:sz w:val="28"/>
          <w:szCs w:val="28"/>
        </w:rPr>
      </w:pPr>
    </w:p>
    <w:sectPr w:rsidR="00A34EE3" w:rsidRPr="00831121"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E25" w:rsidRDefault="00702E25" w:rsidP="00702E25">
      <w:pPr>
        <w:spacing w:after="0" w:line="240" w:lineRule="auto"/>
      </w:pPr>
      <w:r>
        <w:separator/>
      </w:r>
    </w:p>
  </w:endnote>
  <w:endnote w:type="continuationSeparator" w:id="0">
    <w:p w:rsidR="00702E25" w:rsidRDefault="00702E25" w:rsidP="00702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E25" w:rsidRDefault="00702E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E25" w:rsidRPr="00702E25" w:rsidRDefault="00702E25" w:rsidP="00702E25">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E25" w:rsidRDefault="00702E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E25" w:rsidRDefault="00702E25" w:rsidP="00702E25">
      <w:pPr>
        <w:spacing w:after="0" w:line="240" w:lineRule="auto"/>
      </w:pPr>
      <w:r>
        <w:separator/>
      </w:r>
    </w:p>
  </w:footnote>
  <w:footnote w:type="continuationSeparator" w:id="0">
    <w:p w:rsidR="00702E25" w:rsidRDefault="00702E25" w:rsidP="00702E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E25" w:rsidRDefault="00702E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E25" w:rsidRPr="00702E25" w:rsidRDefault="00702E25" w:rsidP="00702E25">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E25" w:rsidRDefault="00702E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31121"/>
    <w:rsid w:val="002D61F0"/>
    <w:rsid w:val="00467045"/>
    <w:rsid w:val="00606C7A"/>
    <w:rsid w:val="00702E25"/>
    <w:rsid w:val="00770615"/>
    <w:rsid w:val="00781F1F"/>
    <w:rsid w:val="00831121"/>
    <w:rsid w:val="009C2FA4"/>
    <w:rsid w:val="009E2A7C"/>
    <w:rsid w:val="00A85EFA"/>
    <w:rsid w:val="00AD0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11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1121"/>
    <w:rPr>
      <w:b/>
      <w:bCs/>
    </w:rPr>
  </w:style>
  <w:style w:type="character" w:styleId="Emphasis">
    <w:name w:val="Emphasis"/>
    <w:basedOn w:val="DefaultParagraphFont"/>
    <w:uiPriority w:val="20"/>
    <w:qFormat/>
    <w:rsid w:val="00831121"/>
    <w:rPr>
      <w:i/>
      <w:iCs/>
    </w:rPr>
  </w:style>
  <w:style w:type="paragraph" w:styleId="Header">
    <w:name w:val="header"/>
    <w:basedOn w:val="Normal"/>
    <w:link w:val="HeaderChar"/>
    <w:uiPriority w:val="99"/>
    <w:unhideWhenUsed/>
    <w:rsid w:val="00702E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E25"/>
  </w:style>
  <w:style w:type="paragraph" w:styleId="Footer">
    <w:name w:val="footer"/>
    <w:basedOn w:val="Normal"/>
    <w:link w:val="FooterChar"/>
    <w:uiPriority w:val="99"/>
    <w:unhideWhenUsed/>
    <w:rsid w:val="00702E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E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7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1289</Words>
  <Characters>7348</Characters>
  <Application>Microsoft Office Word</Application>
  <DocSecurity>0</DocSecurity>
  <Lines>61</Lines>
  <Paragraphs>17</Paragraphs>
  <ScaleCrop>false</ScaleCrop>
  <Company>Grizli777</Company>
  <LinksUpToDate>false</LinksUpToDate>
  <CharactersWithSpaces>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2019-08-28T01:09:00Z</dcterms:created>
  <dcterms:modified xsi:type="dcterms:W3CDTF">2020-05-15T08:48:00Z</dcterms:modified>
</cp:coreProperties>
</file>